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129478D" w14:textId="77777777" w:rsidR="00AE0D1A" w:rsidRDefault="00AE0D1A" w:rsidP="00AE0D1A"/>
    <w:p w14:paraId="0129478E" w14:textId="77777777" w:rsidR="00AE0D1A" w:rsidRDefault="00AE0D1A" w:rsidP="00AE0D1A"/>
    <w:p w14:paraId="0129478F" w14:textId="77777777" w:rsidR="00AE0D1A" w:rsidRDefault="00AE0D1A" w:rsidP="00AE0D1A"/>
    <w:p w14:paraId="01294790" w14:textId="77777777" w:rsidR="00AE0D1A" w:rsidRDefault="00AE0D1A" w:rsidP="00AE0D1A"/>
    <w:p w14:paraId="01294791" w14:textId="77777777" w:rsidR="00AE0D1A" w:rsidRDefault="00AE0D1A" w:rsidP="00AE0D1A"/>
    <w:p w14:paraId="01294792" w14:textId="77777777" w:rsidR="00AE0D1A" w:rsidRDefault="00AE0D1A" w:rsidP="00AE0D1A">
      <w:pPr>
        <w:pStyle w:val="TitlePage1"/>
      </w:pPr>
      <w:r>
        <w:t xml:space="preserve">Energy Efficiency / Demand Response </w:t>
      </w:r>
    </w:p>
    <w:p w14:paraId="01294793" w14:textId="77777777" w:rsidR="00AE0D1A" w:rsidRDefault="00AE0D1A" w:rsidP="00AE0D1A">
      <w:pPr>
        <w:pStyle w:val="TitlePage1"/>
      </w:pPr>
      <w:r>
        <w:t xml:space="preserve">Nicor Gas Plan Year 1 </w:t>
      </w:r>
    </w:p>
    <w:p w14:paraId="01294794" w14:textId="77777777" w:rsidR="00AE0D1A" w:rsidRDefault="00AE0D1A" w:rsidP="00AE0D1A">
      <w:pPr>
        <w:pStyle w:val="TitlePage1"/>
      </w:pPr>
      <w:r>
        <w:t xml:space="preserve">(6/1/2011-5/31/2012) </w:t>
      </w:r>
    </w:p>
    <w:p w14:paraId="01294795" w14:textId="77777777" w:rsidR="00AE0D1A" w:rsidRDefault="00AE0D1A" w:rsidP="00AE0D1A">
      <w:pPr>
        <w:pStyle w:val="TitlePage1"/>
      </w:pPr>
    </w:p>
    <w:p w14:paraId="01294796" w14:textId="77777777" w:rsidR="00AE0D1A" w:rsidRDefault="00AE0D1A" w:rsidP="00AE0D1A">
      <w:pPr>
        <w:pStyle w:val="TitlePage1"/>
      </w:pPr>
      <w:r>
        <w:t xml:space="preserve">Research Report: </w:t>
      </w:r>
    </w:p>
    <w:p w14:paraId="01294797" w14:textId="77777777" w:rsidR="00AE0D1A" w:rsidRDefault="00AE0D1A" w:rsidP="00AE0D1A">
      <w:pPr>
        <w:pStyle w:val="TitlePage1"/>
      </w:pPr>
      <w:r>
        <w:t>Furnace Metering Study</w:t>
      </w:r>
    </w:p>
    <w:p w14:paraId="01294798" w14:textId="77777777" w:rsidR="00AE0D1A" w:rsidRDefault="00AE0D1A" w:rsidP="00AE0D1A"/>
    <w:p w14:paraId="01294799" w14:textId="77777777" w:rsidR="00AE0D1A" w:rsidRDefault="00AE0D1A" w:rsidP="00AE0D1A">
      <w:pPr>
        <w:pStyle w:val="TitlePage1"/>
      </w:pPr>
      <w:r>
        <w:t xml:space="preserve">DRAFT </w:t>
      </w:r>
    </w:p>
    <w:p w14:paraId="0129479A" w14:textId="77777777" w:rsidR="00AE0D1A" w:rsidRDefault="00AE0D1A" w:rsidP="00AE0D1A"/>
    <w:p w14:paraId="0129479B" w14:textId="77777777" w:rsidR="00AE0D1A" w:rsidRDefault="00AE0D1A" w:rsidP="00AE0D1A">
      <w:pPr>
        <w:pStyle w:val="TitlePage2"/>
      </w:pPr>
      <w:r>
        <w:t>Presented to</w:t>
      </w:r>
    </w:p>
    <w:p w14:paraId="0129479C" w14:textId="77777777" w:rsidR="00AE0D1A" w:rsidRDefault="00AE0D1A" w:rsidP="00AE0D1A">
      <w:pPr>
        <w:pStyle w:val="TitlePage2"/>
      </w:pPr>
      <w:r>
        <w:t>Nicor Gas Company</w:t>
      </w:r>
    </w:p>
    <w:p w14:paraId="0129479D" w14:textId="77777777" w:rsidR="00AE0D1A" w:rsidRDefault="00AE0D1A" w:rsidP="00AE0D1A">
      <w:pPr>
        <w:rPr>
          <w:b/>
          <w:bCs/>
          <w:color w:val="6F6754"/>
        </w:rPr>
      </w:pPr>
    </w:p>
    <w:p w14:paraId="0129479E" w14:textId="77777777" w:rsidR="00AE0D1A" w:rsidRPr="00CF687B" w:rsidRDefault="002341CF" w:rsidP="00AE0D1A">
      <w:pPr>
        <w:rPr>
          <w:b/>
          <w:bCs/>
        </w:rPr>
      </w:pPr>
      <w:r w:rsidRPr="00CF687B">
        <w:rPr>
          <w:b/>
          <w:bCs/>
        </w:rPr>
        <w:t>August 1, 2013</w:t>
      </w:r>
    </w:p>
    <w:p w14:paraId="0129479F" w14:textId="77777777" w:rsidR="00AE0D1A" w:rsidRDefault="00AE0D1A" w:rsidP="00AE0D1A">
      <w:pPr>
        <w:rPr>
          <w:b/>
          <w:bCs/>
          <w:color w:val="6F6754"/>
        </w:rPr>
      </w:pPr>
    </w:p>
    <w:p w14:paraId="012947A0" w14:textId="77777777" w:rsidR="00AE0D1A" w:rsidRDefault="00AE0D1A" w:rsidP="00AE0D1A">
      <w:pPr>
        <w:rPr>
          <w:b/>
          <w:bCs/>
          <w:color w:val="6F6754"/>
        </w:rPr>
      </w:pPr>
    </w:p>
    <w:p w14:paraId="012947A1" w14:textId="77777777" w:rsidR="00AE0D1A" w:rsidRDefault="00AE0D1A" w:rsidP="00AE0D1A">
      <w:pPr>
        <w:rPr>
          <w:rStyle w:val="CoverText"/>
          <w:rFonts w:eastAsiaTheme="majorEastAsia"/>
        </w:rPr>
      </w:pPr>
    </w:p>
    <w:p w14:paraId="012947A2" w14:textId="77777777" w:rsidR="00AE0D1A" w:rsidRDefault="00AE0D1A" w:rsidP="00AE0D1A">
      <w:pPr>
        <w:rPr>
          <w:rStyle w:val="CoverText"/>
          <w:rFonts w:eastAsiaTheme="majorEastAsia"/>
        </w:rPr>
      </w:pPr>
    </w:p>
    <w:p w14:paraId="012947A3" w14:textId="77777777" w:rsidR="00AE0D1A" w:rsidRDefault="00AE0D1A" w:rsidP="00AE0D1A">
      <w:pPr>
        <w:pStyle w:val="PresentedBy"/>
        <w:rPr>
          <w:rFonts w:eastAsia="Times New Roman"/>
        </w:rPr>
      </w:pPr>
      <w:r>
        <w:t>Prepared by:</w:t>
      </w:r>
    </w:p>
    <w:p w14:paraId="012947A4" w14:textId="77777777" w:rsidR="00AE0D1A" w:rsidRDefault="00AE0D1A" w:rsidP="00AE0D1A">
      <w:pPr>
        <w:pStyle w:val="PresentedBy"/>
      </w:pPr>
      <w:r>
        <w:t>Randy Gunn</w:t>
      </w:r>
      <w:r>
        <w:br/>
        <w:t>Managing Director</w:t>
      </w:r>
    </w:p>
    <w:p w14:paraId="012947A5" w14:textId="77777777" w:rsidR="00AE0D1A" w:rsidRDefault="00AE0D1A" w:rsidP="00AE0D1A">
      <w:pPr>
        <w:pStyle w:val="PresentedBy"/>
      </w:pPr>
      <w:r>
        <w:t>Navigant Consulting</w:t>
      </w:r>
    </w:p>
    <w:p w14:paraId="012947A6" w14:textId="77777777" w:rsidR="00AE0D1A" w:rsidRDefault="00AE0D1A" w:rsidP="00AE0D1A">
      <w:pPr>
        <w:pStyle w:val="PresentedBy"/>
      </w:pPr>
      <w:r>
        <w:t>30 S. Wacker Drive, Suite 3100</w:t>
      </w:r>
    </w:p>
    <w:p w14:paraId="012947A7" w14:textId="77777777" w:rsidR="00AE0D1A" w:rsidRDefault="00AE0D1A" w:rsidP="00AE0D1A">
      <w:pPr>
        <w:pStyle w:val="PresentedBy"/>
      </w:pPr>
      <w:r>
        <w:t>Chicago, IL 60606</w:t>
      </w:r>
    </w:p>
    <w:p w14:paraId="012947A8" w14:textId="77777777" w:rsidR="00AE0D1A" w:rsidRDefault="00AE0D1A" w:rsidP="00AE0D1A">
      <w:pPr>
        <w:pStyle w:val="PresentedBy"/>
      </w:pPr>
    </w:p>
    <w:p w14:paraId="012947A9" w14:textId="77777777" w:rsidR="00AE0D1A" w:rsidRDefault="00AE0D1A" w:rsidP="00AE0D1A">
      <w:pPr>
        <w:pStyle w:val="PresentedBy"/>
      </w:pPr>
      <w:r>
        <w:t>Phone 312.583.5700</w:t>
      </w:r>
    </w:p>
    <w:p w14:paraId="012947AA" w14:textId="77777777" w:rsidR="00AE0D1A" w:rsidRDefault="00AE0D1A" w:rsidP="00AE0D1A">
      <w:pPr>
        <w:pStyle w:val="PresentedBy"/>
      </w:pPr>
      <w:r>
        <w:t>Fax 312.583.5701</w:t>
      </w:r>
    </w:p>
    <w:p w14:paraId="012947AB" w14:textId="77777777" w:rsidR="00AE0D1A" w:rsidRDefault="00AE0D1A" w:rsidP="00AE0D1A">
      <w:pPr>
        <w:pStyle w:val="PresentedBy"/>
        <w:rPr>
          <w:color w:val="FF0000"/>
        </w:rPr>
      </w:pPr>
    </w:p>
    <w:p w14:paraId="012947AC" w14:textId="77777777" w:rsidR="00AE0D1A" w:rsidRDefault="00AE0D1A" w:rsidP="00AE0D1A">
      <w:pPr>
        <w:pStyle w:val="PresentedBy"/>
      </w:pPr>
      <w:r>
        <w:t>www.navigantconsulting.com</w:t>
      </w:r>
    </w:p>
    <w:p w14:paraId="012947AD" w14:textId="77777777" w:rsidR="00AE0D1A" w:rsidRDefault="00AE0D1A" w:rsidP="00AE0D1A">
      <w:pPr>
        <w:tabs>
          <w:tab w:val="clear" w:pos="720"/>
        </w:tabs>
        <w:rPr>
          <w:color w:val="6F6754"/>
          <w:sz w:val="22"/>
        </w:rPr>
        <w:sectPr w:rsidR="00AE0D1A">
          <w:headerReference w:type="even" r:id="rId12"/>
          <w:headerReference w:type="default" r:id="rId13"/>
          <w:footerReference w:type="even" r:id="rId14"/>
          <w:footerReference w:type="default" r:id="rId15"/>
          <w:headerReference w:type="first" r:id="rId16"/>
          <w:footerReference w:type="first" r:id="rId17"/>
          <w:pgSz w:w="12240" w:h="15840"/>
          <w:pgMar w:top="1440" w:right="1440" w:bottom="1440" w:left="1440" w:header="720" w:footer="0" w:gutter="3024"/>
          <w:cols w:space="720"/>
        </w:sectPr>
      </w:pPr>
    </w:p>
    <w:p w14:paraId="012947AE" w14:textId="77777777" w:rsidR="00AE0D1A" w:rsidRDefault="00AE0D1A" w:rsidP="00AE0D1A">
      <w:pPr>
        <w:pStyle w:val="Contactinfo"/>
        <w:rPr>
          <w:b/>
          <w:szCs w:val="22"/>
        </w:rPr>
      </w:pPr>
      <w:bookmarkStart w:id="0" w:name="_Toc62272964"/>
    </w:p>
    <w:p w14:paraId="012947AF" w14:textId="77777777" w:rsidR="00AE0D1A" w:rsidRDefault="00AE0D1A" w:rsidP="00AE0D1A">
      <w:pPr>
        <w:pStyle w:val="Contactinfo"/>
        <w:rPr>
          <w:b/>
          <w:szCs w:val="22"/>
        </w:rPr>
      </w:pPr>
    </w:p>
    <w:p w14:paraId="012947B0" w14:textId="77777777" w:rsidR="00AE0D1A" w:rsidRDefault="00AE0D1A" w:rsidP="00AE0D1A">
      <w:pPr>
        <w:pStyle w:val="Contactinfo"/>
        <w:rPr>
          <w:b/>
          <w:szCs w:val="22"/>
        </w:rPr>
      </w:pPr>
      <w:r>
        <w:rPr>
          <w:b/>
          <w:szCs w:val="22"/>
        </w:rPr>
        <w:t xml:space="preserve">Submitted to: </w:t>
      </w:r>
    </w:p>
    <w:p w14:paraId="012947B1" w14:textId="77777777" w:rsidR="00AE0D1A" w:rsidRDefault="00AE0D1A" w:rsidP="00AE0D1A">
      <w:pPr>
        <w:pStyle w:val="Contactinfo"/>
        <w:rPr>
          <w:szCs w:val="22"/>
        </w:rPr>
      </w:pPr>
      <w:r>
        <w:rPr>
          <w:szCs w:val="22"/>
        </w:rPr>
        <w:t>Nicor Gas</w:t>
      </w:r>
    </w:p>
    <w:p w14:paraId="012947B2" w14:textId="77777777" w:rsidR="00AE0D1A" w:rsidRDefault="00AE0D1A" w:rsidP="00AE0D1A">
      <w:pPr>
        <w:pStyle w:val="Contactinfo"/>
        <w:rPr>
          <w:szCs w:val="22"/>
        </w:rPr>
      </w:pPr>
      <w:r>
        <w:rPr>
          <w:szCs w:val="22"/>
        </w:rPr>
        <w:t>1844 Ferry Road</w:t>
      </w:r>
    </w:p>
    <w:p w14:paraId="012947B3" w14:textId="77777777" w:rsidR="00AE0D1A" w:rsidRDefault="00AE0D1A" w:rsidP="00AE0D1A">
      <w:pPr>
        <w:pStyle w:val="Contactinfo"/>
        <w:rPr>
          <w:szCs w:val="22"/>
        </w:rPr>
      </w:pPr>
      <w:r>
        <w:rPr>
          <w:szCs w:val="22"/>
        </w:rPr>
        <w:t>Naperville, IL  60563</w:t>
      </w:r>
    </w:p>
    <w:p w14:paraId="012947B4" w14:textId="77777777" w:rsidR="00AE0D1A" w:rsidRDefault="00AE0D1A" w:rsidP="00AE0D1A">
      <w:pPr>
        <w:pStyle w:val="Contactinfo"/>
        <w:rPr>
          <w:szCs w:val="22"/>
        </w:rPr>
      </w:pPr>
    </w:p>
    <w:p w14:paraId="012947B5" w14:textId="77777777" w:rsidR="00AE0D1A" w:rsidRDefault="00AE0D1A" w:rsidP="00AE0D1A">
      <w:pPr>
        <w:pStyle w:val="Contactinfo"/>
        <w:rPr>
          <w:b/>
          <w:szCs w:val="22"/>
        </w:rPr>
      </w:pPr>
      <w:r>
        <w:rPr>
          <w:b/>
          <w:szCs w:val="22"/>
        </w:rPr>
        <w:t xml:space="preserve">Submitted by: </w:t>
      </w:r>
    </w:p>
    <w:p w14:paraId="012947B6" w14:textId="77777777" w:rsidR="00AE0D1A" w:rsidRDefault="00AE0D1A" w:rsidP="00AE0D1A">
      <w:pPr>
        <w:pStyle w:val="Contactinfo"/>
        <w:rPr>
          <w:szCs w:val="22"/>
        </w:rPr>
      </w:pPr>
      <w:r>
        <w:rPr>
          <w:szCs w:val="22"/>
        </w:rPr>
        <w:t>Navigant Consulting, Inc.</w:t>
      </w:r>
    </w:p>
    <w:p w14:paraId="012947B7" w14:textId="77777777" w:rsidR="00AE0D1A" w:rsidRDefault="00AE0D1A" w:rsidP="00AE0D1A">
      <w:pPr>
        <w:pStyle w:val="Contactinfo"/>
        <w:rPr>
          <w:szCs w:val="22"/>
        </w:rPr>
      </w:pPr>
      <w:r>
        <w:rPr>
          <w:szCs w:val="22"/>
        </w:rPr>
        <w:t>30 S. Wacker Drive, Suite 3100</w:t>
      </w:r>
    </w:p>
    <w:p w14:paraId="012947B8" w14:textId="77777777" w:rsidR="00AE0D1A" w:rsidRDefault="00AE0D1A" w:rsidP="00AE0D1A">
      <w:pPr>
        <w:pStyle w:val="Contactinfo"/>
        <w:rPr>
          <w:szCs w:val="22"/>
        </w:rPr>
      </w:pPr>
      <w:r>
        <w:rPr>
          <w:szCs w:val="22"/>
        </w:rPr>
        <w:t>Chicago, IL 60606</w:t>
      </w:r>
    </w:p>
    <w:p w14:paraId="012947B9" w14:textId="77777777" w:rsidR="00AE0D1A" w:rsidRDefault="00AE0D1A" w:rsidP="00AE0D1A">
      <w:pPr>
        <w:pStyle w:val="Contactinfo"/>
        <w:rPr>
          <w:szCs w:val="22"/>
        </w:rPr>
      </w:pPr>
      <w:r>
        <w:rPr>
          <w:szCs w:val="22"/>
        </w:rPr>
        <w:t>Phone 312.583.5700</w:t>
      </w:r>
    </w:p>
    <w:p w14:paraId="012947BA" w14:textId="77777777" w:rsidR="00AE0D1A" w:rsidRDefault="00AE0D1A" w:rsidP="00AE0D1A">
      <w:pPr>
        <w:pStyle w:val="Contactinfo"/>
        <w:rPr>
          <w:szCs w:val="22"/>
        </w:rPr>
      </w:pPr>
      <w:r>
        <w:rPr>
          <w:szCs w:val="22"/>
        </w:rPr>
        <w:t>Fax 312.583.5701</w:t>
      </w:r>
    </w:p>
    <w:p w14:paraId="012947BB" w14:textId="77777777" w:rsidR="00AE0D1A" w:rsidRDefault="00AE0D1A" w:rsidP="00AE0D1A">
      <w:pPr>
        <w:pStyle w:val="Contactinfo"/>
        <w:rPr>
          <w:szCs w:val="22"/>
        </w:rPr>
      </w:pPr>
    </w:p>
    <w:p w14:paraId="012947BC" w14:textId="77777777" w:rsidR="006B3B9B" w:rsidRDefault="006B3B9B" w:rsidP="00AE0D1A">
      <w:pPr>
        <w:pStyle w:val="Contactinfo"/>
        <w:rPr>
          <w:b/>
          <w:szCs w:val="22"/>
        </w:rPr>
      </w:pPr>
    </w:p>
    <w:p w14:paraId="012947BD" w14:textId="77777777" w:rsidR="006B3B9B" w:rsidRDefault="006B3B9B" w:rsidP="00AE0D1A">
      <w:pPr>
        <w:pStyle w:val="Contactinfo"/>
        <w:rPr>
          <w:b/>
          <w:szCs w:val="22"/>
        </w:rPr>
      </w:pPr>
    </w:p>
    <w:p w14:paraId="012947BE" w14:textId="77777777" w:rsidR="006B3B9B" w:rsidRDefault="006B3B9B" w:rsidP="00AE0D1A">
      <w:pPr>
        <w:pStyle w:val="Contactinfo"/>
        <w:rPr>
          <w:b/>
          <w:szCs w:val="22"/>
        </w:rPr>
      </w:pPr>
    </w:p>
    <w:p w14:paraId="012947BF" w14:textId="77777777" w:rsidR="006B3B9B" w:rsidRDefault="006B3B9B" w:rsidP="00AE0D1A">
      <w:pPr>
        <w:pStyle w:val="Contactinfo"/>
        <w:rPr>
          <w:b/>
          <w:szCs w:val="22"/>
        </w:rPr>
      </w:pPr>
    </w:p>
    <w:p w14:paraId="012947C0" w14:textId="77777777" w:rsidR="006B3B9B" w:rsidRDefault="006B3B9B" w:rsidP="00AE0D1A">
      <w:pPr>
        <w:pStyle w:val="Contactinfo"/>
        <w:rPr>
          <w:b/>
          <w:szCs w:val="22"/>
        </w:rPr>
      </w:pPr>
    </w:p>
    <w:p w14:paraId="012947C1" w14:textId="77777777" w:rsidR="006B3B9B" w:rsidRDefault="006B3B9B" w:rsidP="00AE0D1A">
      <w:pPr>
        <w:pStyle w:val="Contactinfo"/>
        <w:rPr>
          <w:b/>
          <w:szCs w:val="22"/>
        </w:rPr>
      </w:pPr>
    </w:p>
    <w:p w14:paraId="012947C2" w14:textId="77777777" w:rsidR="006B3B9B" w:rsidRDefault="006B3B9B" w:rsidP="00AE0D1A">
      <w:pPr>
        <w:pStyle w:val="Contactinfo"/>
        <w:rPr>
          <w:b/>
          <w:szCs w:val="22"/>
        </w:rPr>
      </w:pPr>
    </w:p>
    <w:p w14:paraId="012947C3" w14:textId="77777777" w:rsidR="006B3B9B" w:rsidRDefault="006B3B9B" w:rsidP="00AE0D1A">
      <w:pPr>
        <w:pStyle w:val="Contactinfo"/>
        <w:rPr>
          <w:b/>
          <w:szCs w:val="22"/>
        </w:rPr>
      </w:pPr>
    </w:p>
    <w:p w14:paraId="012947C4" w14:textId="77777777" w:rsidR="006B3B9B" w:rsidRDefault="006B3B9B" w:rsidP="00AE0D1A">
      <w:pPr>
        <w:pStyle w:val="Contactinfo"/>
        <w:rPr>
          <w:b/>
          <w:szCs w:val="22"/>
        </w:rPr>
      </w:pPr>
    </w:p>
    <w:p w14:paraId="012947C5" w14:textId="77777777" w:rsidR="006B3B9B" w:rsidRDefault="006B3B9B" w:rsidP="00AE0D1A">
      <w:pPr>
        <w:pStyle w:val="Contactinfo"/>
        <w:rPr>
          <w:b/>
          <w:szCs w:val="22"/>
        </w:rPr>
      </w:pPr>
    </w:p>
    <w:p w14:paraId="012947C6" w14:textId="77777777" w:rsidR="00AE0D1A" w:rsidRDefault="00AE0D1A" w:rsidP="00AE0D1A">
      <w:pPr>
        <w:pStyle w:val="Contactinfo"/>
        <w:rPr>
          <w:szCs w:val="22"/>
        </w:rPr>
      </w:pPr>
      <w:r>
        <w:rPr>
          <w:b/>
          <w:szCs w:val="22"/>
        </w:rPr>
        <w:t>Contact:</w:t>
      </w:r>
      <w:r>
        <w:rPr>
          <w:szCs w:val="22"/>
        </w:rPr>
        <w:t xml:space="preserve"> </w:t>
      </w:r>
    </w:p>
    <w:tbl>
      <w:tblPr>
        <w:tblW w:w="0" w:type="auto"/>
        <w:tblLook w:val="04A0" w:firstRow="1" w:lastRow="0" w:firstColumn="1" w:lastColumn="0" w:noHBand="0" w:noVBand="1"/>
      </w:tblPr>
      <w:tblGrid>
        <w:gridCol w:w="4748"/>
        <w:gridCol w:w="4756"/>
      </w:tblGrid>
      <w:tr w:rsidR="00AE0D1A" w14:paraId="012947CA" w14:textId="77777777" w:rsidTr="00AE0D1A">
        <w:trPr>
          <w:gridAfter w:val="1"/>
          <w:wAfter w:w="4756" w:type="dxa"/>
        </w:trPr>
        <w:tc>
          <w:tcPr>
            <w:tcW w:w="4748" w:type="dxa"/>
            <w:hideMark/>
          </w:tcPr>
          <w:p w14:paraId="012947C7" w14:textId="77777777" w:rsidR="00AE0D1A" w:rsidRDefault="00AE0D1A">
            <w:pPr>
              <w:pStyle w:val="Contactinfo"/>
            </w:pPr>
            <w:r>
              <w:t>Randy Gunn, Managing Director</w:t>
            </w:r>
          </w:p>
          <w:p w14:paraId="012947C8" w14:textId="77777777" w:rsidR="00AE0D1A" w:rsidRDefault="00AE0D1A">
            <w:pPr>
              <w:pStyle w:val="Contactinfo"/>
            </w:pPr>
            <w:r>
              <w:t>312.938.4242</w:t>
            </w:r>
          </w:p>
          <w:p w14:paraId="012947C9" w14:textId="77777777" w:rsidR="00AE0D1A" w:rsidRDefault="005C5BA2">
            <w:pPr>
              <w:pStyle w:val="Contactinfo"/>
            </w:pPr>
            <w:hyperlink r:id="rId18" w:history="1">
              <w:r w:rsidR="00AE0D1A">
                <w:rPr>
                  <w:rStyle w:val="Hyperlink"/>
                </w:rPr>
                <w:t>randy.gunn@navigant.com</w:t>
              </w:r>
            </w:hyperlink>
          </w:p>
        </w:tc>
      </w:tr>
      <w:tr w:rsidR="00AE0D1A" w14:paraId="012947D0" w14:textId="77777777" w:rsidTr="00AE0D1A">
        <w:tc>
          <w:tcPr>
            <w:tcW w:w="4748" w:type="dxa"/>
          </w:tcPr>
          <w:p w14:paraId="012947CB" w14:textId="77777777" w:rsidR="00AE0D1A" w:rsidRDefault="00AE0D1A">
            <w:pPr>
              <w:pStyle w:val="Contactinfo"/>
              <w:rPr>
                <w:lang w:val="de-DE"/>
              </w:rPr>
            </w:pPr>
          </w:p>
          <w:p w14:paraId="012947CC" w14:textId="77777777" w:rsidR="00AE0D1A" w:rsidRDefault="00AE0D1A">
            <w:pPr>
              <w:pStyle w:val="Contactinfo"/>
              <w:rPr>
                <w:lang w:val="de-DE"/>
              </w:rPr>
            </w:pPr>
            <w:r>
              <w:rPr>
                <w:lang w:val="de-DE"/>
              </w:rPr>
              <w:t>Julianne Meurice, Associate Director</w:t>
            </w:r>
          </w:p>
          <w:p w14:paraId="012947CD" w14:textId="77777777" w:rsidR="00AE0D1A" w:rsidRDefault="00AE0D1A">
            <w:pPr>
              <w:pStyle w:val="Contactinfo"/>
              <w:rPr>
                <w:lang w:val="de-DE"/>
              </w:rPr>
            </w:pPr>
            <w:r>
              <w:rPr>
                <w:lang w:val="de-DE"/>
              </w:rPr>
              <w:t>312.583.5740</w:t>
            </w:r>
          </w:p>
          <w:p w14:paraId="012947CE" w14:textId="77777777" w:rsidR="00AE0D1A" w:rsidRDefault="005C5BA2">
            <w:pPr>
              <w:pStyle w:val="Contactinfo"/>
              <w:rPr>
                <w:sz w:val="20"/>
                <w:szCs w:val="20"/>
              </w:rPr>
            </w:pPr>
            <w:hyperlink r:id="rId19" w:history="1">
              <w:r w:rsidR="00AE0D1A">
                <w:rPr>
                  <w:rStyle w:val="Hyperlink"/>
                  <w:lang w:val="de-DE"/>
                </w:rPr>
                <w:t>julianne.meurice@navigant.com</w:t>
              </w:r>
            </w:hyperlink>
          </w:p>
        </w:tc>
        <w:tc>
          <w:tcPr>
            <w:tcW w:w="4756" w:type="dxa"/>
          </w:tcPr>
          <w:p w14:paraId="012947CF" w14:textId="77777777" w:rsidR="00AE0D1A" w:rsidRDefault="00AE0D1A">
            <w:pPr>
              <w:pStyle w:val="Contactinfo"/>
              <w:rPr>
                <w:lang w:val="de-DE"/>
              </w:rPr>
            </w:pPr>
          </w:p>
        </w:tc>
      </w:tr>
    </w:tbl>
    <w:p w14:paraId="012947D1" w14:textId="77777777" w:rsidR="00AE0D1A" w:rsidRDefault="00AE0D1A" w:rsidP="00AE0D1A">
      <w:pPr>
        <w:pStyle w:val="Contactinfo"/>
        <w:rPr>
          <w:b/>
          <w:szCs w:val="22"/>
        </w:rPr>
      </w:pPr>
    </w:p>
    <w:p w14:paraId="012947D2" w14:textId="77777777" w:rsidR="00AE0D1A" w:rsidRDefault="00AE0D1A" w:rsidP="00AE0D1A">
      <w:pPr>
        <w:pStyle w:val="Contactinfo"/>
        <w:rPr>
          <w:b/>
          <w:szCs w:val="22"/>
        </w:rPr>
      </w:pPr>
      <w:r>
        <w:rPr>
          <w:b/>
          <w:szCs w:val="22"/>
        </w:rPr>
        <w:t xml:space="preserve">Prepared by: </w:t>
      </w:r>
    </w:p>
    <w:tbl>
      <w:tblPr>
        <w:tblW w:w="0" w:type="auto"/>
        <w:tblLook w:val="04A0" w:firstRow="1" w:lastRow="0" w:firstColumn="1" w:lastColumn="0" w:noHBand="0" w:noVBand="1"/>
      </w:tblPr>
      <w:tblGrid>
        <w:gridCol w:w="4752"/>
        <w:gridCol w:w="4752"/>
      </w:tblGrid>
      <w:tr w:rsidR="00AE0D1A" w14:paraId="012947DD" w14:textId="77777777" w:rsidTr="00AE0D1A">
        <w:tc>
          <w:tcPr>
            <w:tcW w:w="4788" w:type="dxa"/>
            <w:hideMark/>
          </w:tcPr>
          <w:p w14:paraId="012947D3" w14:textId="77777777" w:rsidR="00AE0D1A" w:rsidRDefault="00AE0D1A">
            <w:pPr>
              <w:pStyle w:val="Contactinfo"/>
              <w:rPr>
                <w:szCs w:val="22"/>
              </w:rPr>
            </w:pPr>
            <w:r>
              <w:rPr>
                <w:szCs w:val="22"/>
              </w:rPr>
              <w:t>Laura Tabor, Senior Consultant</w:t>
            </w:r>
          </w:p>
          <w:p w14:paraId="012947D4" w14:textId="77777777" w:rsidR="00AE0D1A" w:rsidRDefault="00AE0D1A">
            <w:pPr>
              <w:pStyle w:val="Contactinfo"/>
              <w:rPr>
                <w:szCs w:val="22"/>
              </w:rPr>
            </w:pPr>
            <w:r>
              <w:rPr>
                <w:szCs w:val="22"/>
              </w:rPr>
              <w:t>Navigant Consulting</w:t>
            </w:r>
          </w:p>
          <w:p w14:paraId="012947D5" w14:textId="77777777" w:rsidR="00AE0D1A" w:rsidRDefault="00AE0D1A">
            <w:pPr>
              <w:pStyle w:val="Contactinfo"/>
              <w:rPr>
                <w:szCs w:val="22"/>
              </w:rPr>
            </w:pPr>
            <w:r>
              <w:rPr>
                <w:szCs w:val="22"/>
              </w:rPr>
              <w:t>303.728.2470</w:t>
            </w:r>
          </w:p>
          <w:p w14:paraId="012947D6" w14:textId="77777777" w:rsidR="00AE0D1A" w:rsidRDefault="00AE0D1A">
            <w:pPr>
              <w:pStyle w:val="Contactinfo"/>
              <w:rPr>
                <w:color w:val="0000FF"/>
                <w:sz w:val="20"/>
                <w:szCs w:val="22"/>
                <w:u w:val="single"/>
              </w:rPr>
            </w:pPr>
            <w:r>
              <w:rPr>
                <w:rStyle w:val="Hyperlink"/>
              </w:rPr>
              <w:t>laura.tabor@navigant.com</w:t>
            </w:r>
          </w:p>
        </w:tc>
        <w:tc>
          <w:tcPr>
            <w:tcW w:w="4788" w:type="dxa"/>
          </w:tcPr>
          <w:p w14:paraId="012947D7" w14:textId="77777777" w:rsidR="00AE0D1A" w:rsidRDefault="00AE0D1A">
            <w:pPr>
              <w:pStyle w:val="PlainText"/>
              <w:rPr>
                <w:rFonts w:ascii="Palatino Linotype" w:hAnsi="Palatino Linotype"/>
                <w:sz w:val="22"/>
                <w:szCs w:val="22"/>
              </w:rPr>
            </w:pPr>
            <w:r>
              <w:rPr>
                <w:rFonts w:ascii="Palatino Linotype" w:hAnsi="Palatino Linotype"/>
                <w:sz w:val="22"/>
                <w:szCs w:val="22"/>
              </w:rPr>
              <w:t>Tim Stanton, Senior Consultant</w:t>
            </w:r>
          </w:p>
          <w:p w14:paraId="012947D8" w14:textId="77777777" w:rsidR="00AE0D1A" w:rsidRDefault="00AE0D1A">
            <w:pPr>
              <w:pStyle w:val="PlainText"/>
              <w:rPr>
                <w:rFonts w:ascii="Palatino Linotype" w:hAnsi="Palatino Linotype"/>
                <w:sz w:val="22"/>
                <w:szCs w:val="22"/>
              </w:rPr>
            </w:pPr>
            <w:r>
              <w:rPr>
                <w:rFonts w:ascii="Palatino Linotype" w:hAnsi="Palatino Linotype"/>
                <w:sz w:val="22"/>
                <w:szCs w:val="22"/>
              </w:rPr>
              <w:t>Navigant Consulting</w:t>
            </w:r>
          </w:p>
          <w:p w14:paraId="012947D9" w14:textId="77777777" w:rsidR="00AE0D1A" w:rsidRDefault="00AE0D1A">
            <w:pPr>
              <w:pStyle w:val="PlainText"/>
              <w:rPr>
                <w:rFonts w:ascii="Palatino Linotype" w:hAnsi="Palatino Linotype"/>
                <w:sz w:val="22"/>
                <w:szCs w:val="22"/>
              </w:rPr>
            </w:pPr>
            <w:r>
              <w:rPr>
                <w:rFonts w:ascii="Palatino Linotype" w:hAnsi="Palatino Linotype"/>
                <w:sz w:val="22"/>
                <w:szCs w:val="22"/>
              </w:rPr>
              <w:t>312.583.2722</w:t>
            </w:r>
          </w:p>
          <w:p w14:paraId="012947DA" w14:textId="77777777" w:rsidR="00AE0D1A" w:rsidRDefault="005C5BA2">
            <w:pPr>
              <w:pStyle w:val="Contactinfo"/>
              <w:rPr>
                <w:szCs w:val="22"/>
              </w:rPr>
            </w:pPr>
            <w:hyperlink r:id="rId20" w:history="1">
              <w:r w:rsidR="00AE0D1A">
                <w:rPr>
                  <w:rStyle w:val="Hyperlink"/>
                  <w:szCs w:val="22"/>
                </w:rPr>
                <w:t>tim.stanton@navigant.com</w:t>
              </w:r>
            </w:hyperlink>
          </w:p>
          <w:p w14:paraId="012947DB" w14:textId="77777777" w:rsidR="00AE0D1A" w:rsidRDefault="00AE0D1A">
            <w:pPr>
              <w:pStyle w:val="Contactinfo"/>
              <w:rPr>
                <w:szCs w:val="22"/>
              </w:rPr>
            </w:pPr>
          </w:p>
          <w:p w14:paraId="012947DC" w14:textId="77777777" w:rsidR="00AE0D1A" w:rsidRDefault="00AE0D1A">
            <w:pPr>
              <w:pStyle w:val="Contactinfo"/>
              <w:rPr>
                <w:szCs w:val="22"/>
              </w:rPr>
            </w:pPr>
          </w:p>
        </w:tc>
      </w:tr>
    </w:tbl>
    <w:p w14:paraId="012947DE" w14:textId="77777777" w:rsidR="00AE0D1A" w:rsidRDefault="00AE0D1A" w:rsidP="00AE0D1A">
      <w:pPr>
        <w:pStyle w:val="TOCHeading"/>
        <w:ind w:left="0" w:firstLine="0"/>
        <w:rPr>
          <w:bCs/>
        </w:rPr>
      </w:pPr>
      <w:r>
        <w:lastRenderedPageBreak/>
        <w:t>Table of Contents</w:t>
      </w:r>
      <w:bookmarkEnd w:id="0"/>
    </w:p>
    <w:p w14:paraId="012947DF" w14:textId="77777777" w:rsidR="00CF687B" w:rsidRDefault="00AE0D1A">
      <w:pPr>
        <w:pStyle w:val="TOC1"/>
        <w:rPr>
          <w:rFonts w:asciiTheme="minorHAnsi" w:eastAsiaTheme="minorEastAsia" w:hAnsiTheme="minorHAnsi" w:cstheme="minorBidi"/>
          <w:b w:val="0"/>
          <w:sz w:val="22"/>
          <w:szCs w:val="22"/>
        </w:rPr>
      </w:pPr>
      <w:r>
        <w:fldChar w:fldCharType="begin"/>
      </w:r>
      <w:r>
        <w:instrText xml:space="preserve"> TOC \o "1-4" \h \z \t "Heading 5,1,Heading 6,2,Heading 7,1,Heading 8,2,Heading 9,3" </w:instrText>
      </w:r>
      <w:r>
        <w:fldChar w:fldCharType="separate"/>
      </w:r>
      <w:hyperlink w:anchor="_Toc363131903" w:history="1">
        <w:r w:rsidR="00CF687B" w:rsidRPr="009649F8">
          <w:rPr>
            <w:rStyle w:val="Hyperlink"/>
          </w:rPr>
          <w:t>E.</w:t>
        </w:r>
        <w:r w:rsidR="00CF687B">
          <w:rPr>
            <w:rFonts w:asciiTheme="minorHAnsi" w:eastAsiaTheme="minorEastAsia" w:hAnsiTheme="minorHAnsi" w:cstheme="minorBidi"/>
            <w:b w:val="0"/>
            <w:sz w:val="22"/>
            <w:szCs w:val="22"/>
          </w:rPr>
          <w:tab/>
        </w:r>
        <w:r w:rsidR="00CF687B" w:rsidRPr="009649F8">
          <w:rPr>
            <w:rStyle w:val="Hyperlink"/>
          </w:rPr>
          <w:t>Executive Summary</w:t>
        </w:r>
        <w:r w:rsidR="00CF687B">
          <w:rPr>
            <w:webHidden/>
          </w:rPr>
          <w:tab/>
        </w:r>
        <w:r w:rsidR="00CF687B">
          <w:rPr>
            <w:webHidden/>
          </w:rPr>
          <w:fldChar w:fldCharType="begin"/>
        </w:r>
        <w:r w:rsidR="00CF687B">
          <w:rPr>
            <w:webHidden/>
          </w:rPr>
          <w:instrText xml:space="preserve"> PAGEREF _Toc363131903 \h </w:instrText>
        </w:r>
        <w:r w:rsidR="00CF687B">
          <w:rPr>
            <w:webHidden/>
          </w:rPr>
        </w:r>
        <w:r w:rsidR="00CF687B">
          <w:rPr>
            <w:webHidden/>
          </w:rPr>
          <w:fldChar w:fldCharType="separate"/>
        </w:r>
        <w:r w:rsidR="00C0011F">
          <w:rPr>
            <w:webHidden/>
          </w:rPr>
          <w:t>1</w:t>
        </w:r>
        <w:r w:rsidR="00CF687B">
          <w:rPr>
            <w:webHidden/>
          </w:rPr>
          <w:fldChar w:fldCharType="end"/>
        </w:r>
      </w:hyperlink>
    </w:p>
    <w:p w14:paraId="012947E0" w14:textId="77777777" w:rsidR="00CF687B" w:rsidRDefault="005C5BA2">
      <w:pPr>
        <w:pStyle w:val="TOC2"/>
        <w:rPr>
          <w:rFonts w:asciiTheme="minorHAnsi" w:eastAsiaTheme="minorEastAsia" w:hAnsiTheme="minorHAnsi" w:cstheme="minorBidi"/>
          <w:sz w:val="22"/>
          <w:szCs w:val="22"/>
        </w:rPr>
      </w:pPr>
      <w:hyperlink w:anchor="_Toc363131904" w:history="1">
        <w:r w:rsidR="00CF687B" w:rsidRPr="009649F8">
          <w:rPr>
            <w:rStyle w:val="Hyperlink"/>
          </w:rPr>
          <w:t>E.1</w:t>
        </w:r>
        <w:r w:rsidR="00CF687B">
          <w:rPr>
            <w:rFonts w:asciiTheme="minorHAnsi" w:eastAsiaTheme="minorEastAsia" w:hAnsiTheme="minorHAnsi" w:cstheme="minorBidi"/>
            <w:sz w:val="22"/>
            <w:szCs w:val="22"/>
          </w:rPr>
          <w:tab/>
        </w:r>
        <w:r w:rsidR="00CF687B" w:rsidRPr="009649F8">
          <w:rPr>
            <w:rStyle w:val="Hyperlink"/>
          </w:rPr>
          <w:t>Research Methods</w:t>
        </w:r>
        <w:r w:rsidR="00CF687B">
          <w:rPr>
            <w:webHidden/>
          </w:rPr>
          <w:tab/>
        </w:r>
        <w:r w:rsidR="00CF687B">
          <w:rPr>
            <w:webHidden/>
          </w:rPr>
          <w:fldChar w:fldCharType="begin"/>
        </w:r>
        <w:r w:rsidR="00CF687B">
          <w:rPr>
            <w:webHidden/>
          </w:rPr>
          <w:instrText xml:space="preserve"> PAGEREF _Toc363131904 \h </w:instrText>
        </w:r>
        <w:r w:rsidR="00CF687B">
          <w:rPr>
            <w:webHidden/>
          </w:rPr>
        </w:r>
        <w:r w:rsidR="00CF687B">
          <w:rPr>
            <w:webHidden/>
          </w:rPr>
          <w:fldChar w:fldCharType="separate"/>
        </w:r>
        <w:r w:rsidR="00C0011F">
          <w:rPr>
            <w:webHidden/>
          </w:rPr>
          <w:t>1</w:t>
        </w:r>
        <w:r w:rsidR="00CF687B">
          <w:rPr>
            <w:webHidden/>
          </w:rPr>
          <w:fldChar w:fldCharType="end"/>
        </w:r>
      </w:hyperlink>
    </w:p>
    <w:p w14:paraId="012947E1" w14:textId="77777777" w:rsidR="00CF687B" w:rsidRDefault="005C5BA2">
      <w:pPr>
        <w:pStyle w:val="TOC2"/>
        <w:rPr>
          <w:rFonts w:asciiTheme="minorHAnsi" w:eastAsiaTheme="minorEastAsia" w:hAnsiTheme="minorHAnsi" w:cstheme="minorBidi"/>
          <w:sz w:val="22"/>
          <w:szCs w:val="22"/>
        </w:rPr>
      </w:pPr>
      <w:hyperlink w:anchor="_Toc363131905" w:history="1">
        <w:r w:rsidR="00CF687B" w:rsidRPr="009649F8">
          <w:rPr>
            <w:rStyle w:val="Hyperlink"/>
          </w:rPr>
          <w:t>E.2</w:t>
        </w:r>
        <w:r w:rsidR="00CF687B">
          <w:rPr>
            <w:rFonts w:asciiTheme="minorHAnsi" w:eastAsiaTheme="minorEastAsia" w:hAnsiTheme="minorHAnsi" w:cstheme="minorBidi"/>
            <w:sz w:val="22"/>
            <w:szCs w:val="22"/>
          </w:rPr>
          <w:tab/>
        </w:r>
        <w:r w:rsidR="00CF687B" w:rsidRPr="009649F8">
          <w:rPr>
            <w:rStyle w:val="Hyperlink"/>
          </w:rPr>
          <w:t>Research Results</w:t>
        </w:r>
        <w:r w:rsidR="00CF687B">
          <w:rPr>
            <w:webHidden/>
          </w:rPr>
          <w:tab/>
        </w:r>
        <w:r w:rsidR="00CF687B">
          <w:rPr>
            <w:webHidden/>
          </w:rPr>
          <w:fldChar w:fldCharType="begin"/>
        </w:r>
        <w:r w:rsidR="00CF687B">
          <w:rPr>
            <w:webHidden/>
          </w:rPr>
          <w:instrText xml:space="preserve"> PAGEREF _Toc363131905 \h </w:instrText>
        </w:r>
        <w:r w:rsidR="00CF687B">
          <w:rPr>
            <w:webHidden/>
          </w:rPr>
        </w:r>
        <w:r w:rsidR="00CF687B">
          <w:rPr>
            <w:webHidden/>
          </w:rPr>
          <w:fldChar w:fldCharType="separate"/>
        </w:r>
        <w:r w:rsidR="00C0011F">
          <w:rPr>
            <w:webHidden/>
          </w:rPr>
          <w:t>1</w:t>
        </w:r>
        <w:r w:rsidR="00CF687B">
          <w:rPr>
            <w:webHidden/>
          </w:rPr>
          <w:fldChar w:fldCharType="end"/>
        </w:r>
      </w:hyperlink>
    </w:p>
    <w:p w14:paraId="012947E2" w14:textId="77777777" w:rsidR="00CF687B" w:rsidRDefault="005C5BA2">
      <w:pPr>
        <w:pStyle w:val="TOC2"/>
        <w:rPr>
          <w:rFonts w:asciiTheme="minorHAnsi" w:eastAsiaTheme="minorEastAsia" w:hAnsiTheme="minorHAnsi" w:cstheme="minorBidi"/>
          <w:sz w:val="22"/>
          <w:szCs w:val="22"/>
        </w:rPr>
      </w:pPr>
      <w:hyperlink w:anchor="_Toc363131906" w:history="1">
        <w:r w:rsidR="00CF687B" w:rsidRPr="009649F8">
          <w:rPr>
            <w:rStyle w:val="Hyperlink"/>
          </w:rPr>
          <w:t>E.3</w:t>
        </w:r>
        <w:r w:rsidR="00CF687B">
          <w:rPr>
            <w:rFonts w:asciiTheme="minorHAnsi" w:eastAsiaTheme="minorEastAsia" w:hAnsiTheme="minorHAnsi" w:cstheme="minorBidi"/>
            <w:sz w:val="22"/>
            <w:szCs w:val="22"/>
          </w:rPr>
          <w:tab/>
        </w:r>
        <w:r w:rsidR="00CF687B" w:rsidRPr="009649F8">
          <w:rPr>
            <w:rStyle w:val="Hyperlink"/>
          </w:rPr>
          <w:t>Findings and Recommendations</w:t>
        </w:r>
        <w:r w:rsidR="00CF687B">
          <w:rPr>
            <w:webHidden/>
          </w:rPr>
          <w:tab/>
        </w:r>
        <w:r w:rsidR="00CF687B">
          <w:rPr>
            <w:webHidden/>
          </w:rPr>
          <w:fldChar w:fldCharType="begin"/>
        </w:r>
        <w:r w:rsidR="00CF687B">
          <w:rPr>
            <w:webHidden/>
          </w:rPr>
          <w:instrText xml:space="preserve"> PAGEREF _Toc363131906 \h </w:instrText>
        </w:r>
        <w:r w:rsidR="00CF687B">
          <w:rPr>
            <w:webHidden/>
          </w:rPr>
        </w:r>
        <w:r w:rsidR="00CF687B">
          <w:rPr>
            <w:webHidden/>
          </w:rPr>
          <w:fldChar w:fldCharType="separate"/>
        </w:r>
        <w:r w:rsidR="00C0011F">
          <w:rPr>
            <w:webHidden/>
          </w:rPr>
          <w:t>1</w:t>
        </w:r>
        <w:r w:rsidR="00CF687B">
          <w:rPr>
            <w:webHidden/>
          </w:rPr>
          <w:fldChar w:fldCharType="end"/>
        </w:r>
      </w:hyperlink>
    </w:p>
    <w:p w14:paraId="012947E3" w14:textId="77777777" w:rsidR="00CF687B" w:rsidRDefault="005C5BA2">
      <w:pPr>
        <w:pStyle w:val="TOC1"/>
        <w:rPr>
          <w:rFonts w:asciiTheme="minorHAnsi" w:eastAsiaTheme="minorEastAsia" w:hAnsiTheme="minorHAnsi" w:cstheme="minorBidi"/>
          <w:b w:val="0"/>
          <w:sz w:val="22"/>
          <w:szCs w:val="22"/>
        </w:rPr>
      </w:pPr>
      <w:hyperlink w:anchor="_Toc363131907" w:history="1">
        <w:r w:rsidR="00CF687B" w:rsidRPr="009649F8">
          <w:rPr>
            <w:rStyle w:val="Hyperlink"/>
          </w:rPr>
          <w:t>1.</w:t>
        </w:r>
        <w:r w:rsidR="00CF687B">
          <w:rPr>
            <w:rFonts w:asciiTheme="minorHAnsi" w:eastAsiaTheme="minorEastAsia" w:hAnsiTheme="minorHAnsi" w:cstheme="minorBidi"/>
            <w:b w:val="0"/>
            <w:sz w:val="22"/>
            <w:szCs w:val="22"/>
          </w:rPr>
          <w:tab/>
        </w:r>
        <w:r w:rsidR="00CF687B" w:rsidRPr="009649F8">
          <w:rPr>
            <w:rStyle w:val="Hyperlink"/>
          </w:rPr>
          <w:t>Study Objectives and Methods</w:t>
        </w:r>
        <w:r w:rsidR="00CF687B">
          <w:rPr>
            <w:webHidden/>
          </w:rPr>
          <w:tab/>
        </w:r>
        <w:r w:rsidR="00CF687B">
          <w:rPr>
            <w:webHidden/>
          </w:rPr>
          <w:fldChar w:fldCharType="begin"/>
        </w:r>
        <w:r w:rsidR="00CF687B">
          <w:rPr>
            <w:webHidden/>
          </w:rPr>
          <w:instrText xml:space="preserve"> PAGEREF _Toc363131907 \h </w:instrText>
        </w:r>
        <w:r w:rsidR="00CF687B">
          <w:rPr>
            <w:webHidden/>
          </w:rPr>
        </w:r>
        <w:r w:rsidR="00CF687B">
          <w:rPr>
            <w:webHidden/>
          </w:rPr>
          <w:fldChar w:fldCharType="separate"/>
        </w:r>
        <w:r w:rsidR="00C0011F">
          <w:rPr>
            <w:webHidden/>
          </w:rPr>
          <w:t>3</w:t>
        </w:r>
        <w:r w:rsidR="00CF687B">
          <w:rPr>
            <w:webHidden/>
          </w:rPr>
          <w:fldChar w:fldCharType="end"/>
        </w:r>
      </w:hyperlink>
    </w:p>
    <w:p w14:paraId="012947E4" w14:textId="77777777" w:rsidR="00CF687B" w:rsidRDefault="005C5BA2">
      <w:pPr>
        <w:pStyle w:val="TOC2"/>
        <w:rPr>
          <w:rFonts w:asciiTheme="minorHAnsi" w:eastAsiaTheme="minorEastAsia" w:hAnsiTheme="minorHAnsi" w:cstheme="minorBidi"/>
          <w:sz w:val="22"/>
          <w:szCs w:val="22"/>
        </w:rPr>
      </w:pPr>
      <w:hyperlink w:anchor="_Toc363131908" w:history="1">
        <w:r w:rsidR="00CF687B" w:rsidRPr="009649F8">
          <w:rPr>
            <w:rStyle w:val="Hyperlink"/>
          </w:rPr>
          <w:t>1.1</w:t>
        </w:r>
        <w:r w:rsidR="00CF687B">
          <w:rPr>
            <w:rFonts w:asciiTheme="minorHAnsi" w:eastAsiaTheme="minorEastAsia" w:hAnsiTheme="minorHAnsi" w:cstheme="minorBidi"/>
            <w:sz w:val="22"/>
            <w:szCs w:val="22"/>
          </w:rPr>
          <w:tab/>
        </w:r>
        <w:r w:rsidR="00CF687B" w:rsidRPr="009649F8">
          <w:rPr>
            <w:rStyle w:val="Hyperlink"/>
          </w:rPr>
          <w:t>Research Methodology</w:t>
        </w:r>
        <w:r w:rsidR="00CF687B">
          <w:rPr>
            <w:webHidden/>
          </w:rPr>
          <w:tab/>
        </w:r>
        <w:r w:rsidR="00CF687B">
          <w:rPr>
            <w:webHidden/>
          </w:rPr>
          <w:fldChar w:fldCharType="begin"/>
        </w:r>
        <w:r w:rsidR="00CF687B">
          <w:rPr>
            <w:webHidden/>
          </w:rPr>
          <w:instrText xml:space="preserve"> PAGEREF _Toc363131908 \h </w:instrText>
        </w:r>
        <w:r w:rsidR="00CF687B">
          <w:rPr>
            <w:webHidden/>
          </w:rPr>
        </w:r>
        <w:r w:rsidR="00CF687B">
          <w:rPr>
            <w:webHidden/>
          </w:rPr>
          <w:fldChar w:fldCharType="separate"/>
        </w:r>
        <w:r w:rsidR="00C0011F">
          <w:rPr>
            <w:webHidden/>
          </w:rPr>
          <w:t>3</w:t>
        </w:r>
        <w:r w:rsidR="00CF687B">
          <w:rPr>
            <w:webHidden/>
          </w:rPr>
          <w:fldChar w:fldCharType="end"/>
        </w:r>
      </w:hyperlink>
    </w:p>
    <w:p w14:paraId="012947E5" w14:textId="77777777" w:rsidR="00CF687B" w:rsidRDefault="005C5BA2">
      <w:pPr>
        <w:pStyle w:val="TOC3"/>
        <w:rPr>
          <w:rFonts w:asciiTheme="minorHAnsi" w:eastAsiaTheme="minorEastAsia" w:hAnsiTheme="minorHAnsi" w:cstheme="minorBidi"/>
          <w:sz w:val="22"/>
          <w:szCs w:val="22"/>
        </w:rPr>
      </w:pPr>
      <w:hyperlink w:anchor="_Toc363131909" w:history="1">
        <w:r w:rsidR="00CF687B" w:rsidRPr="009649F8">
          <w:rPr>
            <w:rStyle w:val="Hyperlink"/>
          </w:rPr>
          <w:t>1.1.1</w:t>
        </w:r>
        <w:r w:rsidR="00CF687B">
          <w:rPr>
            <w:rFonts w:asciiTheme="minorHAnsi" w:eastAsiaTheme="minorEastAsia" w:hAnsiTheme="minorHAnsi" w:cstheme="minorBidi"/>
            <w:sz w:val="22"/>
            <w:szCs w:val="22"/>
          </w:rPr>
          <w:tab/>
        </w:r>
        <w:r w:rsidR="00CF687B" w:rsidRPr="009649F8">
          <w:rPr>
            <w:rStyle w:val="Hyperlink"/>
          </w:rPr>
          <w:t>Sample Selection</w:t>
        </w:r>
        <w:r w:rsidR="00CF687B">
          <w:rPr>
            <w:webHidden/>
          </w:rPr>
          <w:tab/>
        </w:r>
        <w:r w:rsidR="00CF687B">
          <w:rPr>
            <w:webHidden/>
          </w:rPr>
          <w:fldChar w:fldCharType="begin"/>
        </w:r>
        <w:r w:rsidR="00CF687B">
          <w:rPr>
            <w:webHidden/>
          </w:rPr>
          <w:instrText xml:space="preserve"> PAGEREF _Toc363131909 \h </w:instrText>
        </w:r>
        <w:r w:rsidR="00CF687B">
          <w:rPr>
            <w:webHidden/>
          </w:rPr>
        </w:r>
        <w:r w:rsidR="00CF687B">
          <w:rPr>
            <w:webHidden/>
          </w:rPr>
          <w:fldChar w:fldCharType="separate"/>
        </w:r>
        <w:r w:rsidR="00C0011F">
          <w:rPr>
            <w:webHidden/>
          </w:rPr>
          <w:t>3</w:t>
        </w:r>
        <w:r w:rsidR="00CF687B">
          <w:rPr>
            <w:webHidden/>
          </w:rPr>
          <w:fldChar w:fldCharType="end"/>
        </w:r>
      </w:hyperlink>
    </w:p>
    <w:p w14:paraId="012947E6" w14:textId="77777777" w:rsidR="00CF687B" w:rsidRDefault="005C5BA2">
      <w:pPr>
        <w:pStyle w:val="TOC3"/>
        <w:rPr>
          <w:rFonts w:asciiTheme="minorHAnsi" w:eastAsiaTheme="minorEastAsia" w:hAnsiTheme="minorHAnsi" w:cstheme="minorBidi"/>
          <w:sz w:val="22"/>
          <w:szCs w:val="22"/>
        </w:rPr>
      </w:pPr>
      <w:hyperlink w:anchor="_Toc363131910" w:history="1">
        <w:r w:rsidR="00CF687B" w:rsidRPr="009649F8">
          <w:rPr>
            <w:rStyle w:val="Hyperlink"/>
          </w:rPr>
          <w:t>1.1.2</w:t>
        </w:r>
        <w:r w:rsidR="00CF687B">
          <w:rPr>
            <w:rFonts w:asciiTheme="minorHAnsi" w:eastAsiaTheme="minorEastAsia" w:hAnsiTheme="minorHAnsi" w:cstheme="minorBidi"/>
            <w:sz w:val="22"/>
            <w:szCs w:val="22"/>
          </w:rPr>
          <w:tab/>
        </w:r>
        <w:r w:rsidR="00CF687B" w:rsidRPr="009649F8">
          <w:rPr>
            <w:rStyle w:val="Hyperlink"/>
          </w:rPr>
          <w:t>Billing Data Disaggregation</w:t>
        </w:r>
        <w:r w:rsidR="00CF687B">
          <w:rPr>
            <w:webHidden/>
          </w:rPr>
          <w:tab/>
        </w:r>
        <w:r w:rsidR="00CF687B">
          <w:rPr>
            <w:webHidden/>
          </w:rPr>
          <w:fldChar w:fldCharType="begin"/>
        </w:r>
        <w:r w:rsidR="00CF687B">
          <w:rPr>
            <w:webHidden/>
          </w:rPr>
          <w:instrText xml:space="preserve"> PAGEREF _Toc363131910 \h </w:instrText>
        </w:r>
        <w:r w:rsidR="00CF687B">
          <w:rPr>
            <w:webHidden/>
          </w:rPr>
        </w:r>
        <w:r w:rsidR="00CF687B">
          <w:rPr>
            <w:webHidden/>
          </w:rPr>
          <w:fldChar w:fldCharType="separate"/>
        </w:r>
        <w:r w:rsidR="00C0011F">
          <w:rPr>
            <w:webHidden/>
          </w:rPr>
          <w:t>5</w:t>
        </w:r>
        <w:r w:rsidR="00CF687B">
          <w:rPr>
            <w:webHidden/>
          </w:rPr>
          <w:fldChar w:fldCharType="end"/>
        </w:r>
      </w:hyperlink>
    </w:p>
    <w:p w14:paraId="012947E7" w14:textId="77777777" w:rsidR="00CF687B" w:rsidRDefault="005C5BA2">
      <w:pPr>
        <w:pStyle w:val="TOC3"/>
        <w:rPr>
          <w:rFonts w:asciiTheme="minorHAnsi" w:eastAsiaTheme="minorEastAsia" w:hAnsiTheme="minorHAnsi" w:cstheme="minorBidi"/>
          <w:sz w:val="22"/>
          <w:szCs w:val="22"/>
        </w:rPr>
      </w:pPr>
      <w:hyperlink w:anchor="_Toc363131911" w:history="1">
        <w:r w:rsidR="00CF687B" w:rsidRPr="009649F8">
          <w:rPr>
            <w:rStyle w:val="Hyperlink"/>
          </w:rPr>
          <w:t>1.1.3</w:t>
        </w:r>
        <w:r w:rsidR="00CF687B">
          <w:rPr>
            <w:rFonts w:asciiTheme="minorHAnsi" w:eastAsiaTheme="minorEastAsia" w:hAnsiTheme="minorHAnsi" w:cstheme="minorBidi"/>
            <w:sz w:val="22"/>
            <w:szCs w:val="22"/>
          </w:rPr>
          <w:tab/>
        </w:r>
        <w:r w:rsidR="00CF687B" w:rsidRPr="009649F8">
          <w:rPr>
            <w:rStyle w:val="Hyperlink"/>
          </w:rPr>
          <w:t>Metering Approach</w:t>
        </w:r>
        <w:r w:rsidR="00CF687B">
          <w:rPr>
            <w:webHidden/>
          </w:rPr>
          <w:tab/>
        </w:r>
        <w:r w:rsidR="00CF687B">
          <w:rPr>
            <w:webHidden/>
          </w:rPr>
          <w:fldChar w:fldCharType="begin"/>
        </w:r>
        <w:r w:rsidR="00CF687B">
          <w:rPr>
            <w:webHidden/>
          </w:rPr>
          <w:instrText xml:space="preserve"> PAGEREF _Toc363131911 \h </w:instrText>
        </w:r>
        <w:r w:rsidR="00CF687B">
          <w:rPr>
            <w:webHidden/>
          </w:rPr>
        </w:r>
        <w:r w:rsidR="00CF687B">
          <w:rPr>
            <w:webHidden/>
          </w:rPr>
          <w:fldChar w:fldCharType="separate"/>
        </w:r>
        <w:r w:rsidR="00C0011F">
          <w:rPr>
            <w:webHidden/>
          </w:rPr>
          <w:t>5</w:t>
        </w:r>
        <w:r w:rsidR="00CF687B">
          <w:rPr>
            <w:webHidden/>
          </w:rPr>
          <w:fldChar w:fldCharType="end"/>
        </w:r>
      </w:hyperlink>
    </w:p>
    <w:p w14:paraId="012947E8" w14:textId="77777777" w:rsidR="00CF687B" w:rsidRDefault="005C5BA2">
      <w:pPr>
        <w:pStyle w:val="TOC4"/>
        <w:rPr>
          <w:rFonts w:asciiTheme="minorHAnsi" w:eastAsiaTheme="minorEastAsia" w:hAnsiTheme="minorHAnsi" w:cstheme="minorBidi"/>
          <w:i w:val="0"/>
          <w:sz w:val="22"/>
          <w:szCs w:val="22"/>
        </w:rPr>
      </w:pPr>
      <w:hyperlink w:anchor="_Toc363131912" w:history="1">
        <w:r w:rsidR="00CF687B" w:rsidRPr="009649F8">
          <w:rPr>
            <w:rStyle w:val="Hyperlink"/>
          </w:rPr>
          <w:t>1.1.3.1</w:t>
        </w:r>
        <w:r w:rsidR="00CF687B">
          <w:rPr>
            <w:rFonts w:asciiTheme="minorHAnsi" w:eastAsiaTheme="minorEastAsia" w:hAnsiTheme="minorHAnsi" w:cstheme="minorBidi"/>
            <w:i w:val="0"/>
            <w:sz w:val="22"/>
            <w:szCs w:val="22"/>
          </w:rPr>
          <w:tab/>
        </w:r>
        <w:r w:rsidR="00CF687B" w:rsidRPr="009649F8">
          <w:rPr>
            <w:rStyle w:val="Hyperlink"/>
          </w:rPr>
          <w:t>Logger Installation Procedures</w:t>
        </w:r>
        <w:r w:rsidR="00CF687B">
          <w:rPr>
            <w:webHidden/>
          </w:rPr>
          <w:tab/>
        </w:r>
        <w:r w:rsidR="00CF687B">
          <w:rPr>
            <w:webHidden/>
          </w:rPr>
          <w:fldChar w:fldCharType="begin"/>
        </w:r>
        <w:r w:rsidR="00CF687B">
          <w:rPr>
            <w:webHidden/>
          </w:rPr>
          <w:instrText xml:space="preserve"> PAGEREF _Toc363131912 \h </w:instrText>
        </w:r>
        <w:r w:rsidR="00CF687B">
          <w:rPr>
            <w:webHidden/>
          </w:rPr>
        </w:r>
        <w:r w:rsidR="00CF687B">
          <w:rPr>
            <w:webHidden/>
          </w:rPr>
          <w:fldChar w:fldCharType="separate"/>
        </w:r>
        <w:r w:rsidR="00C0011F">
          <w:rPr>
            <w:webHidden/>
          </w:rPr>
          <w:t>5</w:t>
        </w:r>
        <w:r w:rsidR="00CF687B">
          <w:rPr>
            <w:webHidden/>
          </w:rPr>
          <w:fldChar w:fldCharType="end"/>
        </w:r>
      </w:hyperlink>
    </w:p>
    <w:p w14:paraId="012947E9" w14:textId="77777777" w:rsidR="00CF687B" w:rsidRDefault="005C5BA2">
      <w:pPr>
        <w:pStyle w:val="TOC4"/>
        <w:rPr>
          <w:rFonts w:asciiTheme="minorHAnsi" w:eastAsiaTheme="minorEastAsia" w:hAnsiTheme="minorHAnsi" w:cstheme="minorBidi"/>
          <w:i w:val="0"/>
          <w:sz w:val="22"/>
          <w:szCs w:val="22"/>
        </w:rPr>
      </w:pPr>
      <w:hyperlink w:anchor="_Toc363131913" w:history="1">
        <w:r w:rsidR="00CF687B" w:rsidRPr="009649F8">
          <w:rPr>
            <w:rStyle w:val="Hyperlink"/>
          </w:rPr>
          <w:t>1.1.3.2</w:t>
        </w:r>
        <w:r w:rsidR="00CF687B">
          <w:rPr>
            <w:rFonts w:asciiTheme="minorHAnsi" w:eastAsiaTheme="minorEastAsia" w:hAnsiTheme="minorHAnsi" w:cstheme="minorBidi"/>
            <w:i w:val="0"/>
            <w:sz w:val="22"/>
            <w:szCs w:val="22"/>
          </w:rPr>
          <w:tab/>
        </w:r>
        <w:r w:rsidR="00CF687B" w:rsidRPr="009649F8">
          <w:rPr>
            <w:rStyle w:val="Hyperlink"/>
          </w:rPr>
          <w:t>Combustion Efficiency Spot Measurements</w:t>
        </w:r>
        <w:r w:rsidR="00CF687B">
          <w:rPr>
            <w:webHidden/>
          </w:rPr>
          <w:tab/>
        </w:r>
        <w:r w:rsidR="00CF687B">
          <w:rPr>
            <w:webHidden/>
          </w:rPr>
          <w:fldChar w:fldCharType="begin"/>
        </w:r>
        <w:r w:rsidR="00CF687B">
          <w:rPr>
            <w:webHidden/>
          </w:rPr>
          <w:instrText xml:space="preserve"> PAGEREF _Toc363131913 \h </w:instrText>
        </w:r>
        <w:r w:rsidR="00CF687B">
          <w:rPr>
            <w:webHidden/>
          </w:rPr>
        </w:r>
        <w:r w:rsidR="00CF687B">
          <w:rPr>
            <w:webHidden/>
          </w:rPr>
          <w:fldChar w:fldCharType="separate"/>
        </w:r>
        <w:r w:rsidR="00C0011F">
          <w:rPr>
            <w:webHidden/>
          </w:rPr>
          <w:t>6</w:t>
        </w:r>
        <w:r w:rsidR="00CF687B">
          <w:rPr>
            <w:webHidden/>
          </w:rPr>
          <w:fldChar w:fldCharType="end"/>
        </w:r>
      </w:hyperlink>
    </w:p>
    <w:p w14:paraId="012947EA" w14:textId="77777777" w:rsidR="00CF687B" w:rsidRDefault="005C5BA2">
      <w:pPr>
        <w:pStyle w:val="TOC4"/>
        <w:rPr>
          <w:rFonts w:asciiTheme="minorHAnsi" w:eastAsiaTheme="minorEastAsia" w:hAnsiTheme="minorHAnsi" w:cstheme="minorBidi"/>
          <w:i w:val="0"/>
          <w:sz w:val="22"/>
          <w:szCs w:val="22"/>
        </w:rPr>
      </w:pPr>
      <w:hyperlink w:anchor="_Toc363131914" w:history="1">
        <w:r w:rsidR="00CF687B" w:rsidRPr="009649F8">
          <w:rPr>
            <w:rStyle w:val="Hyperlink"/>
          </w:rPr>
          <w:t>1.1.3.3</w:t>
        </w:r>
        <w:r w:rsidR="00CF687B">
          <w:rPr>
            <w:rFonts w:asciiTheme="minorHAnsi" w:eastAsiaTheme="minorEastAsia" w:hAnsiTheme="minorHAnsi" w:cstheme="minorBidi"/>
            <w:i w:val="0"/>
            <w:sz w:val="22"/>
            <w:szCs w:val="22"/>
          </w:rPr>
          <w:tab/>
        </w:r>
        <w:r w:rsidR="00CF687B" w:rsidRPr="009649F8">
          <w:rPr>
            <w:rStyle w:val="Hyperlink"/>
          </w:rPr>
          <w:t>Metered Data Analysis</w:t>
        </w:r>
        <w:r w:rsidR="00CF687B">
          <w:rPr>
            <w:webHidden/>
          </w:rPr>
          <w:tab/>
        </w:r>
        <w:r w:rsidR="00CF687B">
          <w:rPr>
            <w:webHidden/>
          </w:rPr>
          <w:fldChar w:fldCharType="begin"/>
        </w:r>
        <w:r w:rsidR="00CF687B">
          <w:rPr>
            <w:webHidden/>
          </w:rPr>
          <w:instrText xml:space="preserve"> PAGEREF _Toc363131914 \h </w:instrText>
        </w:r>
        <w:r w:rsidR="00CF687B">
          <w:rPr>
            <w:webHidden/>
          </w:rPr>
        </w:r>
        <w:r w:rsidR="00CF687B">
          <w:rPr>
            <w:webHidden/>
          </w:rPr>
          <w:fldChar w:fldCharType="separate"/>
        </w:r>
        <w:r w:rsidR="00C0011F">
          <w:rPr>
            <w:webHidden/>
          </w:rPr>
          <w:t>6</w:t>
        </w:r>
        <w:r w:rsidR="00CF687B">
          <w:rPr>
            <w:webHidden/>
          </w:rPr>
          <w:fldChar w:fldCharType="end"/>
        </w:r>
      </w:hyperlink>
    </w:p>
    <w:p w14:paraId="012947EB" w14:textId="77777777" w:rsidR="00CF687B" w:rsidRDefault="005C5BA2">
      <w:pPr>
        <w:pStyle w:val="TOC3"/>
        <w:rPr>
          <w:rFonts w:asciiTheme="minorHAnsi" w:eastAsiaTheme="minorEastAsia" w:hAnsiTheme="minorHAnsi" w:cstheme="minorBidi"/>
          <w:sz w:val="22"/>
          <w:szCs w:val="22"/>
        </w:rPr>
      </w:pPr>
      <w:hyperlink w:anchor="_Toc363131915" w:history="1">
        <w:r w:rsidR="00CF687B" w:rsidRPr="009649F8">
          <w:rPr>
            <w:rStyle w:val="Hyperlink"/>
          </w:rPr>
          <w:t>1.1.4</w:t>
        </w:r>
        <w:r w:rsidR="00CF687B">
          <w:rPr>
            <w:rFonts w:asciiTheme="minorHAnsi" w:eastAsiaTheme="minorEastAsia" w:hAnsiTheme="minorHAnsi" w:cstheme="minorBidi"/>
            <w:sz w:val="22"/>
            <w:szCs w:val="22"/>
          </w:rPr>
          <w:tab/>
        </w:r>
        <w:r w:rsidR="00CF687B" w:rsidRPr="009649F8">
          <w:rPr>
            <w:rStyle w:val="Hyperlink"/>
          </w:rPr>
          <w:t>Energy Model Development and Calibration</w:t>
        </w:r>
        <w:r w:rsidR="00CF687B">
          <w:rPr>
            <w:webHidden/>
          </w:rPr>
          <w:tab/>
        </w:r>
        <w:r w:rsidR="00CF687B">
          <w:rPr>
            <w:webHidden/>
          </w:rPr>
          <w:fldChar w:fldCharType="begin"/>
        </w:r>
        <w:r w:rsidR="00CF687B">
          <w:rPr>
            <w:webHidden/>
          </w:rPr>
          <w:instrText xml:space="preserve"> PAGEREF _Toc363131915 \h </w:instrText>
        </w:r>
        <w:r w:rsidR="00CF687B">
          <w:rPr>
            <w:webHidden/>
          </w:rPr>
        </w:r>
        <w:r w:rsidR="00CF687B">
          <w:rPr>
            <w:webHidden/>
          </w:rPr>
          <w:fldChar w:fldCharType="separate"/>
        </w:r>
        <w:r w:rsidR="00C0011F">
          <w:rPr>
            <w:webHidden/>
          </w:rPr>
          <w:t>7</w:t>
        </w:r>
        <w:r w:rsidR="00CF687B">
          <w:rPr>
            <w:webHidden/>
          </w:rPr>
          <w:fldChar w:fldCharType="end"/>
        </w:r>
      </w:hyperlink>
    </w:p>
    <w:p w14:paraId="012947EC" w14:textId="77777777" w:rsidR="00CF687B" w:rsidRDefault="005C5BA2">
      <w:pPr>
        <w:pStyle w:val="TOC3"/>
        <w:rPr>
          <w:rFonts w:asciiTheme="minorHAnsi" w:eastAsiaTheme="minorEastAsia" w:hAnsiTheme="minorHAnsi" w:cstheme="minorBidi"/>
          <w:sz w:val="22"/>
          <w:szCs w:val="22"/>
        </w:rPr>
      </w:pPr>
      <w:hyperlink w:anchor="_Toc363131916" w:history="1">
        <w:r w:rsidR="00CF687B" w:rsidRPr="009649F8">
          <w:rPr>
            <w:rStyle w:val="Hyperlink"/>
          </w:rPr>
          <w:t>1.1.5</w:t>
        </w:r>
        <w:r w:rsidR="00CF687B">
          <w:rPr>
            <w:rFonts w:asciiTheme="minorHAnsi" w:eastAsiaTheme="minorEastAsia" w:hAnsiTheme="minorHAnsi" w:cstheme="minorBidi"/>
            <w:sz w:val="22"/>
            <w:szCs w:val="22"/>
          </w:rPr>
          <w:tab/>
        </w:r>
        <w:r w:rsidR="00CF687B" w:rsidRPr="009649F8">
          <w:rPr>
            <w:rStyle w:val="Hyperlink"/>
          </w:rPr>
          <w:t>Calculation of Final Results</w:t>
        </w:r>
        <w:r w:rsidR="00CF687B">
          <w:rPr>
            <w:webHidden/>
          </w:rPr>
          <w:tab/>
        </w:r>
        <w:r w:rsidR="00CF687B">
          <w:rPr>
            <w:webHidden/>
          </w:rPr>
          <w:fldChar w:fldCharType="begin"/>
        </w:r>
        <w:r w:rsidR="00CF687B">
          <w:rPr>
            <w:webHidden/>
          </w:rPr>
          <w:instrText xml:space="preserve"> PAGEREF _Toc363131916 \h </w:instrText>
        </w:r>
        <w:r w:rsidR="00CF687B">
          <w:rPr>
            <w:webHidden/>
          </w:rPr>
        </w:r>
        <w:r w:rsidR="00CF687B">
          <w:rPr>
            <w:webHidden/>
          </w:rPr>
          <w:fldChar w:fldCharType="separate"/>
        </w:r>
        <w:r w:rsidR="00C0011F">
          <w:rPr>
            <w:webHidden/>
          </w:rPr>
          <w:t>8</w:t>
        </w:r>
        <w:r w:rsidR="00CF687B">
          <w:rPr>
            <w:webHidden/>
          </w:rPr>
          <w:fldChar w:fldCharType="end"/>
        </w:r>
      </w:hyperlink>
    </w:p>
    <w:p w14:paraId="012947ED" w14:textId="77777777" w:rsidR="00CF687B" w:rsidRDefault="005C5BA2">
      <w:pPr>
        <w:pStyle w:val="TOC1"/>
        <w:rPr>
          <w:rFonts w:asciiTheme="minorHAnsi" w:eastAsiaTheme="minorEastAsia" w:hAnsiTheme="minorHAnsi" w:cstheme="minorBidi"/>
          <w:b w:val="0"/>
          <w:sz w:val="22"/>
          <w:szCs w:val="22"/>
        </w:rPr>
      </w:pPr>
      <w:hyperlink w:anchor="_Toc363131917" w:history="1">
        <w:r w:rsidR="00CF687B" w:rsidRPr="009649F8">
          <w:rPr>
            <w:rStyle w:val="Hyperlink"/>
          </w:rPr>
          <w:t>2.</w:t>
        </w:r>
        <w:r w:rsidR="00CF687B">
          <w:rPr>
            <w:rFonts w:asciiTheme="minorHAnsi" w:eastAsiaTheme="minorEastAsia" w:hAnsiTheme="minorHAnsi" w:cstheme="minorBidi"/>
            <w:b w:val="0"/>
            <w:sz w:val="22"/>
            <w:szCs w:val="22"/>
          </w:rPr>
          <w:tab/>
        </w:r>
        <w:r w:rsidR="00CF687B" w:rsidRPr="009649F8">
          <w:rPr>
            <w:rStyle w:val="Hyperlink"/>
          </w:rPr>
          <w:t>Research Results</w:t>
        </w:r>
        <w:r w:rsidR="00CF687B">
          <w:rPr>
            <w:webHidden/>
          </w:rPr>
          <w:tab/>
        </w:r>
        <w:r w:rsidR="00CF687B">
          <w:rPr>
            <w:webHidden/>
          </w:rPr>
          <w:fldChar w:fldCharType="begin"/>
        </w:r>
        <w:r w:rsidR="00CF687B">
          <w:rPr>
            <w:webHidden/>
          </w:rPr>
          <w:instrText xml:space="preserve"> PAGEREF _Toc363131917 \h </w:instrText>
        </w:r>
        <w:r w:rsidR="00CF687B">
          <w:rPr>
            <w:webHidden/>
          </w:rPr>
        </w:r>
        <w:r w:rsidR="00CF687B">
          <w:rPr>
            <w:webHidden/>
          </w:rPr>
          <w:fldChar w:fldCharType="separate"/>
        </w:r>
        <w:r w:rsidR="00C0011F">
          <w:rPr>
            <w:webHidden/>
          </w:rPr>
          <w:t>10</w:t>
        </w:r>
        <w:r w:rsidR="00CF687B">
          <w:rPr>
            <w:webHidden/>
          </w:rPr>
          <w:fldChar w:fldCharType="end"/>
        </w:r>
      </w:hyperlink>
    </w:p>
    <w:p w14:paraId="012947EE" w14:textId="77777777" w:rsidR="00CF687B" w:rsidRDefault="005C5BA2">
      <w:pPr>
        <w:pStyle w:val="TOC2"/>
        <w:rPr>
          <w:rFonts w:asciiTheme="minorHAnsi" w:eastAsiaTheme="minorEastAsia" w:hAnsiTheme="minorHAnsi" w:cstheme="minorBidi"/>
          <w:sz w:val="22"/>
          <w:szCs w:val="22"/>
        </w:rPr>
      </w:pPr>
      <w:hyperlink w:anchor="_Toc363131918" w:history="1">
        <w:r w:rsidR="00CF687B" w:rsidRPr="009649F8">
          <w:rPr>
            <w:rStyle w:val="Hyperlink"/>
          </w:rPr>
          <w:t>2.1</w:t>
        </w:r>
        <w:r w:rsidR="00CF687B">
          <w:rPr>
            <w:rFonts w:asciiTheme="minorHAnsi" w:eastAsiaTheme="minorEastAsia" w:hAnsiTheme="minorHAnsi" w:cstheme="minorBidi"/>
            <w:sz w:val="22"/>
            <w:szCs w:val="22"/>
          </w:rPr>
          <w:tab/>
        </w:r>
        <w:r w:rsidR="00CF687B" w:rsidRPr="009649F8">
          <w:rPr>
            <w:rStyle w:val="Hyperlink"/>
          </w:rPr>
          <w:t>Therm Savings and EFLH</w:t>
        </w:r>
        <w:r w:rsidR="00CF687B">
          <w:rPr>
            <w:webHidden/>
          </w:rPr>
          <w:tab/>
        </w:r>
        <w:r w:rsidR="00CF687B">
          <w:rPr>
            <w:webHidden/>
          </w:rPr>
          <w:fldChar w:fldCharType="begin"/>
        </w:r>
        <w:r w:rsidR="00CF687B">
          <w:rPr>
            <w:webHidden/>
          </w:rPr>
          <w:instrText xml:space="preserve"> PAGEREF _Toc363131918 \h </w:instrText>
        </w:r>
        <w:r w:rsidR="00CF687B">
          <w:rPr>
            <w:webHidden/>
          </w:rPr>
        </w:r>
        <w:r w:rsidR="00CF687B">
          <w:rPr>
            <w:webHidden/>
          </w:rPr>
          <w:fldChar w:fldCharType="separate"/>
        </w:r>
        <w:r w:rsidR="00C0011F">
          <w:rPr>
            <w:webHidden/>
          </w:rPr>
          <w:t>10</w:t>
        </w:r>
        <w:r w:rsidR="00CF687B">
          <w:rPr>
            <w:webHidden/>
          </w:rPr>
          <w:fldChar w:fldCharType="end"/>
        </w:r>
      </w:hyperlink>
    </w:p>
    <w:p w14:paraId="012947EF" w14:textId="77777777" w:rsidR="00CF687B" w:rsidRDefault="005C5BA2">
      <w:pPr>
        <w:pStyle w:val="TOC2"/>
        <w:rPr>
          <w:rFonts w:asciiTheme="minorHAnsi" w:eastAsiaTheme="minorEastAsia" w:hAnsiTheme="minorHAnsi" w:cstheme="minorBidi"/>
          <w:sz w:val="22"/>
          <w:szCs w:val="22"/>
        </w:rPr>
      </w:pPr>
      <w:hyperlink w:anchor="_Toc363131919" w:history="1">
        <w:r w:rsidR="00CF687B" w:rsidRPr="009649F8">
          <w:rPr>
            <w:rStyle w:val="Hyperlink"/>
          </w:rPr>
          <w:t>2.2</w:t>
        </w:r>
        <w:r w:rsidR="00CF687B">
          <w:rPr>
            <w:rFonts w:asciiTheme="minorHAnsi" w:eastAsiaTheme="minorEastAsia" w:hAnsiTheme="minorHAnsi" w:cstheme="minorBidi"/>
            <w:sz w:val="22"/>
            <w:szCs w:val="22"/>
          </w:rPr>
          <w:tab/>
        </w:r>
        <w:r w:rsidR="00CF687B" w:rsidRPr="009649F8">
          <w:rPr>
            <w:rStyle w:val="Hyperlink"/>
          </w:rPr>
          <w:t>Results Discussion</w:t>
        </w:r>
        <w:r w:rsidR="00CF687B">
          <w:rPr>
            <w:webHidden/>
          </w:rPr>
          <w:tab/>
        </w:r>
        <w:r w:rsidR="00CF687B">
          <w:rPr>
            <w:webHidden/>
          </w:rPr>
          <w:fldChar w:fldCharType="begin"/>
        </w:r>
        <w:r w:rsidR="00CF687B">
          <w:rPr>
            <w:webHidden/>
          </w:rPr>
          <w:instrText xml:space="preserve"> PAGEREF _Toc363131919 \h </w:instrText>
        </w:r>
        <w:r w:rsidR="00CF687B">
          <w:rPr>
            <w:webHidden/>
          </w:rPr>
        </w:r>
        <w:r w:rsidR="00CF687B">
          <w:rPr>
            <w:webHidden/>
          </w:rPr>
          <w:fldChar w:fldCharType="separate"/>
        </w:r>
        <w:r w:rsidR="00C0011F">
          <w:rPr>
            <w:webHidden/>
          </w:rPr>
          <w:t>11</w:t>
        </w:r>
        <w:r w:rsidR="00CF687B">
          <w:rPr>
            <w:webHidden/>
          </w:rPr>
          <w:fldChar w:fldCharType="end"/>
        </w:r>
      </w:hyperlink>
    </w:p>
    <w:p w14:paraId="012947F0" w14:textId="77777777" w:rsidR="00CF687B" w:rsidRDefault="005C5BA2">
      <w:pPr>
        <w:pStyle w:val="TOC3"/>
        <w:rPr>
          <w:rFonts w:asciiTheme="minorHAnsi" w:eastAsiaTheme="minorEastAsia" w:hAnsiTheme="minorHAnsi" w:cstheme="minorBidi"/>
          <w:sz w:val="22"/>
          <w:szCs w:val="22"/>
        </w:rPr>
      </w:pPr>
      <w:hyperlink w:anchor="_Toc363131920" w:history="1">
        <w:r w:rsidR="00CF687B" w:rsidRPr="009649F8">
          <w:rPr>
            <w:rStyle w:val="Hyperlink"/>
          </w:rPr>
          <w:t>2.2.1</w:t>
        </w:r>
        <w:r w:rsidR="00CF687B">
          <w:rPr>
            <w:rFonts w:asciiTheme="minorHAnsi" w:eastAsiaTheme="minorEastAsia" w:hAnsiTheme="minorHAnsi" w:cstheme="minorBidi"/>
            <w:sz w:val="22"/>
            <w:szCs w:val="22"/>
          </w:rPr>
          <w:tab/>
        </w:r>
        <w:r w:rsidR="00CF687B" w:rsidRPr="009649F8">
          <w:rPr>
            <w:rStyle w:val="Hyperlink"/>
          </w:rPr>
          <w:t>Study Strengths and Weaknesses</w:t>
        </w:r>
        <w:r w:rsidR="00CF687B">
          <w:rPr>
            <w:webHidden/>
          </w:rPr>
          <w:tab/>
        </w:r>
        <w:r w:rsidR="00CF687B">
          <w:rPr>
            <w:webHidden/>
          </w:rPr>
          <w:fldChar w:fldCharType="begin"/>
        </w:r>
        <w:r w:rsidR="00CF687B">
          <w:rPr>
            <w:webHidden/>
          </w:rPr>
          <w:instrText xml:space="preserve"> PAGEREF _Toc363131920 \h </w:instrText>
        </w:r>
        <w:r w:rsidR="00CF687B">
          <w:rPr>
            <w:webHidden/>
          </w:rPr>
        </w:r>
        <w:r w:rsidR="00CF687B">
          <w:rPr>
            <w:webHidden/>
          </w:rPr>
          <w:fldChar w:fldCharType="separate"/>
        </w:r>
        <w:r w:rsidR="00C0011F">
          <w:rPr>
            <w:webHidden/>
          </w:rPr>
          <w:t>11</w:t>
        </w:r>
        <w:r w:rsidR="00CF687B">
          <w:rPr>
            <w:webHidden/>
          </w:rPr>
          <w:fldChar w:fldCharType="end"/>
        </w:r>
      </w:hyperlink>
    </w:p>
    <w:p w14:paraId="012947F1" w14:textId="77777777" w:rsidR="00CF687B" w:rsidRDefault="005C5BA2">
      <w:pPr>
        <w:pStyle w:val="TOC1"/>
        <w:rPr>
          <w:rFonts w:asciiTheme="minorHAnsi" w:eastAsiaTheme="minorEastAsia" w:hAnsiTheme="minorHAnsi" w:cstheme="minorBidi"/>
          <w:b w:val="0"/>
          <w:sz w:val="22"/>
          <w:szCs w:val="22"/>
        </w:rPr>
      </w:pPr>
      <w:hyperlink w:anchor="_Toc363131921" w:history="1">
        <w:r w:rsidR="00CF687B" w:rsidRPr="009649F8">
          <w:rPr>
            <w:rStyle w:val="Hyperlink"/>
          </w:rPr>
          <w:t>3.</w:t>
        </w:r>
        <w:r w:rsidR="00CF687B">
          <w:rPr>
            <w:rFonts w:asciiTheme="minorHAnsi" w:eastAsiaTheme="minorEastAsia" w:hAnsiTheme="minorHAnsi" w:cstheme="minorBidi"/>
            <w:b w:val="0"/>
            <w:sz w:val="22"/>
            <w:szCs w:val="22"/>
          </w:rPr>
          <w:tab/>
        </w:r>
        <w:r w:rsidR="00CF687B" w:rsidRPr="009649F8">
          <w:rPr>
            <w:rStyle w:val="Hyperlink"/>
          </w:rPr>
          <w:t>Findings and Recommendations</w:t>
        </w:r>
        <w:r w:rsidR="00CF687B">
          <w:rPr>
            <w:webHidden/>
          </w:rPr>
          <w:tab/>
        </w:r>
        <w:r w:rsidR="00CF687B">
          <w:rPr>
            <w:webHidden/>
          </w:rPr>
          <w:fldChar w:fldCharType="begin"/>
        </w:r>
        <w:r w:rsidR="00CF687B">
          <w:rPr>
            <w:webHidden/>
          </w:rPr>
          <w:instrText xml:space="preserve"> PAGEREF _Toc363131921 \h </w:instrText>
        </w:r>
        <w:r w:rsidR="00CF687B">
          <w:rPr>
            <w:webHidden/>
          </w:rPr>
        </w:r>
        <w:r w:rsidR="00CF687B">
          <w:rPr>
            <w:webHidden/>
          </w:rPr>
          <w:fldChar w:fldCharType="separate"/>
        </w:r>
        <w:r w:rsidR="00C0011F">
          <w:rPr>
            <w:webHidden/>
          </w:rPr>
          <w:t>12</w:t>
        </w:r>
        <w:r w:rsidR="00CF687B">
          <w:rPr>
            <w:webHidden/>
          </w:rPr>
          <w:fldChar w:fldCharType="end"/>
        </w:r>
      </w:hyperlink>
    </w:p>
    <w:p w14:paraId="012947F2" w14:textId="77777777" w:rsidR="00CF687B" w:rsidRDefault="005C5BA2">
      <w:pPr>
        <w:pStyle w:val="TOC1"/>
        <w:rPr>
          <w:rFonts w:asciiTheme="minorHAnsi" w:eastAsiaTheme="minorEastAsia" w:hAnsiTheme="minorHAnsi" w:cstheme="minorBidi"/>
          <w:b w:val="0"/>
          <w:sz w:val="22"/>
          <w:szCs w:val="22"/>
        </w:rPr>
      </w:pPr>
      <w:hyperlink w:anchor="_Toc363131922" w:history="1">
        <w:r w:rsidR="00CF687B" w:rsidRPr="009649F8">
          <w:rPr>
            <w:rStyle w:val="Hyperlink"/>
          </w:rPr>
          <w:t>4.</w:t>
        </w:r>
        <w:r w:rsidR="00CF687B">
          <w:rPr>
            <w:rFonts w:asciiTheme="minorHAnsi" w:eastAsiaTheme="minorEastAsia" w:hAnsiTheme="minorHAnsi" w:cstheme="minorBidi"/>
            <w:b w:val="0"/>
            <w:sz w:val="22"/>
            <w:szCs w:val="22"/>
          </w:rPr>
          <w:tab/>
        </w:r>
        <w:r w:rsidR="00CF687B" w:rsidRPr="009649F8">
          <w:rPr>
            <w:rStyle w:val="Hyperlink"/>
          </w:rPr>
          <w:t>Appendices</w:t>
        </w:r>
        <w:r w:rsidR="00CF687B">
          <w:rPr>
            <w:webHidden/>
          </w:rPr>
          <w:tab/>
        </w:r>
        <w:r w:rsidR="00CF687B">
          <w:rPr>
            <w:webHidden/>
          </w:rPr>
          <w:fldChar w:fldCharType="begin"/>
        </w:r>
        <w:r w:rsidR="00CF687B">
          <w:rPr>
            <w:webHidden/>
          </w:rPr>
          <w:instrText xml:space="preserve"> PAGEREF _Toc363131922 \h </w:instrText>
        </w:r>
        <w:r w:rsidR="00CF687B">
          <w:rPr>
            <w:webHidden/>
          </w:rPr>
        </w:r>
        <w:r w:rsidR="00CF687B">
          <w:rPr>
            <w:webHidden/>
          </w:rPr>
          <w:fldChar w:fldCharType="separate"/>
        </w:r>
        <w:r w:rsidR="00C0011F">
          <w:rPr>
            <w:webHidden/>
          </w:rPr>
          <w:t>13</w:t>
        </w:r>
        <w:r w:rsidR="00CF687B">
          <w:rPr>
            <w:webHidden/>
          </w:rPr>
          <w:fldChar w:fldCharType="end"/>
        </w:r>
      </w:hyperlink>
    </w:p>
    <w:p w14:paraId="012947F3" w14:textId="77777777" w:rsidR="00CF687B" w:rsidRDefault="005C5BA2">
      <w:pPr>
        <w:pStyle w:val="TOC2"/>
        <w:rPr>
          <w:rFonts w:asciiTheme="minorHAnsi" w:eastAsiaTheme="minorEastAsia" w:hAnsiTheme="minorHAnsi" w:cstheme="minorBidi"/>
          <w:sz w:val="22"/>
          <w:szCs w:val="22"/>
        </w:rPr>
      </w:pPr>
      <w:hyperlink w:anchor="_Toc363131923" w:history="1">
        <w:r w:rsidR="00CF687B" w:rsidRPr="009649F8">
          <w:rPr>
            <w:rStyle w:val="Hyperlink"/>
          </w:rPr>
          <w:t>4.1</w:t>
        </w:r>
        <w:r w:rsidR="00CF687B">
          <w:rPr>
            <w:rFonts w:asciiTheme="minorHAnsi" w:eastAsiaTheme="minorEastAsia" w:hAnsiTheme="minorHAnsi" w:cstheme="minorBidi"/>
            <w:sz w:val="22"/>
            <w:szCs w:val="22"/>
          </w:rPr>
          <w:tab/>
        </w:r>
        <w:r w:rsidR="00CF687B" w:rsidRPr="009649F8">
          <w:rPr>
            <w:rStyle w:val="Hyperlink"/>
          </w:rPr>
          <w:t>Disaggregation Methodology</w:t>
        </w:r>
        <w:r w:rsidR="00CF687B">
          <w:rPr>
            <w:webHidden/>
          </w:rPr>
          <w:tab/>
        </w:r>
        <w:r w:rsidR="00CF687B">
          <w:rPr>
            <w:webHidden/>
          </w:rPr>
          <w:fldChar w:fldCharType="begin"/>
        </w:r>
        <w:r w:rsidR="00CF687B">
          <w:rPr>
            <w:webHidden/>
          </w:rPr>
          <w:instrText xml:space="preserve"> PAGEREF _Toc363131923 \h </w:instrText>
        </w:r>
        <w:r w:rsidR="00CF687B">
          <w:rPr>
            <w:webHidden/>
          </w:rPr>
        </w:r>
        <w:r w:rsidR="00CF687B">
          <w:rPr>
            <w:webHidden/>
          </w:rPr>
          <w:fldChar w:fldCharType="separate"/>
        </w:r>
        <w:r w:rsidR="00C0011F">
          <w:rPr>
            <w:webHidden/>
          </w:rPr>
          <w:t>13</w:t>
        </w:r>
        <w:r w:rsidR="00CF687B">
          <w:rPr>
            <w:webHidden/>
          </w:rPr>
          <w:fldChar w:fldCharType="end"/>
        </w:r>
      </w:hyperlink>
    </w:p>
    <w:p w14:paraId="012947F4" w14:textId="77777777" w:rsidR="00CF687B" w:rsidRDefault="005C5BA2">
      <w:pPr>
        <w:pStyle w:val="TOC3"/>
        <w:rPr>
          <w:rFonts w:asciiTheme="minorHAnsi" w:eastAsiaTheme="minorEastAsia" w:hAnsiTheme="minorHAnsi" w:cstheme="minorBidi"/>
          <w:sz w:val="22"/>
          <w:szCs w:val="22"/>
        </w:rPr>
      </w:pPr>
      <w:hyperlink w:anchor="_Toc363131924" w:history="1">
        <w:r w:rsidR="00CF687B" w:rsidRPr="009649F8">
          <w:rPr>
            <w:rStyle w:val="Hyperlink"/>
          </w:rPr>
          <w:t>Non-heating End Use Calculations</w:t>
        </w:r>
        <w:r w:rsidR="00CF687B">
          <w:rPr>
            <w:webHidden/>
          </w:rPr>
          <w:tab/>
        </w:r>
        <w:r w:rsidR="00CF687B">
          <w:rPr>
            <w:webHidden/>
          </w:rPr>
          <w:fldChar w:fldCharType="begin"/>
        </w:r>
        <w:r w:rsidR="00CF687B">
          <w:rPr>
            <w:webHidden/>
          </w:rPr>
          <w:instrText xml:space="preserve"> PAGEREF _Toc363131924 \h </w:instrText>
        </w:r>
        <w:r w:rsidR="00CF687B">
          <w:rPr>
            <w:webHidden/>
          </w:rPr>
        </w:r>
        <w:r w:rsidR="00CF687B">
          <w:rPr>
            <w:webHidden/>
          </w:rPr>
          <w:fldChar w:fldCharType="separate"/>
        </w:r>
        <w:r w:rsidR="00C0011F">
          <w:rPr>
            <w:webHidden/>
          </w:rPr>
          <w:t>14</w:t>
        </w:r>
        <w:r w:rsidR="00CF687B">
          <w:rPr>
            <w:webHidden/>
          </w:rPr>
          <w:fldChar w:fldCharType="end"/>
        </w:r>
      </w:hyperlink>
    </w:p>
    <w:p w14:paraId="012947F5" w14:textId="77777777" w:rsidR="00CF687B" w:rsidRDefault="005C5BA2">
      <w:pPr>
        <w:pStyle w:val="TOC2"/>
        <w:rPr>
          <w:rFonts w:asciiTheme="minorHAnsi" w:eastAsiaTheme="minorEastAsia" w:hAnsiTheme="minorHAnsi" w:cstheme="minorBidi"/>
          <w:sz w:val="22"/>
          <w:szCs w:val="22"/>
        </w:rPr>
      </w:pPr>
      <w:hyperlink w:anchor="_Toc363131925" w:history="1">
        <w:r w:rsidR="00CF687B" w:rsidRPr="009649F8">
          <w:rPr>
            <w:rStyle w:val="Hyperlink"/>
          </w:rPr>
          <w:t>4.2</w:t>
        </w:r>
        <w:r w:rsidR="00CF687B">
          <w:rPr>
            <w:rFonts w:asciiTheme="minorHAnsi" w:eastAsiaTheme="minorEastAsia" w:hAnsiTheme="minorHAnsi" w:cstheme="minorBidi"/>
            <w:sz w:val="22"/>
            <w:szCs w:val="22"/>
          </w:rPr>
          <w:tab/>
        </w:r>
        <w:r w:rsidR="00CF687B" w:rsidRPr="009649F8">
          <w:rPr>
            <w:rStyle w:val="Hyperlink"/>
          </w:rPr>
          <w:t>Logger Data Analysis Methodology</w:t>
        </w:r>
        <w:r w:rsidR="00CF687B">
          <w:rPr>
            <w:webHidden/>
          </w:rPr>
          <w:tab/>
        </w:r>
        <w:r w:rsidR="00CF687B">
          <w:rPr>
            <w:webHidden/>
          </w:rPr>
          <w:fldChar w:fldCharType="begin"/>
        </w:r>
        <w:r w:rsidR="00CF687B">
          <w:rPr>
            <w:webHidden/>
          </w:rPr>
          <w:instrText xml:space="preserve"> PAGEREF _Toc363131925 \h </w:instrText>
        </w:r>
        <w:r w:rsidR="00CF687B">
          <w:rPr>
            <w:webHidden/>
          </w:rPr>
        </w:r>
        <w:r w:rsidR="00CF687B">
          <w:rPr>
            <w:webHidden/>
          </w:rPr>
          <w:fldChar w:fldCharType="separate"/>
        </w:r>
        <w:r w:rsidR="00C0011F">
          <w:rPr>
            <w:webHidden/>
          </w:rPr>
          <w:t>15</w:t>
        </w:r>
        <w:r w:rsidR="00CF687B">
          <w:rPr>
            <w:webHidden/>
          </w:rPr>
          <w:fldChar w:fldCharType="end"/>
        </w:r>
      </w:hyperlink>
    </w:p>
    <w:p w14:paraId="012947F6" w14:textId="77777777" w:rsidR="00CF687B" w:rsidRDefault="005C5BA2">
      <w:pPr>
        <w:pStyle w:val="TOC3"/>
        <w:rPr>
          <w:rFonts w:asciiTheme="minorHAnsi" w:eastAsiaTheme="minorEastAsia" w:hAnsiTheme="minorHAnsi" w:cstheme="minorBidi"/>
          <w:sz w:val="22"/>
          <w:szCs w:val="22"/>
        </w:rPr>
      </w:pPr>
      <w:hyperlink w:anchor="_Toc363131926" w:history="1">
        <w:r w:rsidR="00CF687B" w:rsidRPr="009649F8">
          <w:rPr>
            <w:rStyle w:val="Hyperlink"/>
          </w:rPr>
          <w:t>4.2.1</w:t>
        </w:r>
        <w:r w:rsidR="00CF687B">
          <w:rPr>
            <w:rFonts w:asciiTheme="minorHAnsi" w:eastAsiaTheme="minorEastAsia" w:hAnsiTheme="minorHAnsi" w:cstheme="minorBidi"/>
            <w:sz w:val="22"/>
            <w:szCs w:val="22"/>
          </w:rPr>
          <w:tab/>
        </w:r>
        <w:r w:rsidR="00CF687B" w:rsidRPr="009649F8">
          <w:rPr>
            <w:rStyle w:val="Hyperlink"/>
          </w:rPr>
          <w:t>Data QC and Cleaning</w:t>
        </w:r>
        <w:r w:rsidR="00CF687B">
          <w:rPr>
            <w:webHidden/>
          </w:rPr>
          <w:tab/>
        </w:r>
        <w:r w:rsidR="00CF687B">
          <w:rPr>
            <w:webHidden/>
          </w:rPr>
          <w:fldChar w:fldCharType="begin"/>
        </w:r>
        <w:r w:rsidR="00CF687B">
          <w:rPr>
            <w:webHidden/>
          </w:rPr>
          <w:instrText xml:space="preserve"> PAGEREF _Toc363131926 \h </w:instrText>
        </w:r>
        <w:r w:rsidR="00CF687B">
          <w:rPr>
            <w:webHidden/>
          </w:rPr>
        </w:r>
        <w:r w:rsidR="00CF687B">
          <w:rPr>
            <w:webHidden/>
          </w:rPr>
          <w:fldChar w:fldCharType="separate"/>
        </w:r>
        <w:r w:rsidR="00C0011F">
          <w:rPr>
            <w:webHidden/>
          </w:rPr>
          <w:t>15</w:t>
        </w:r>
        <w:r w:rsidR="00CF687B">
          <w:rPr>
            <w:webHidden/>
          </w:rPr>
          <w:fldChar w:fldCharType="end"/>
        </w:r>
      </w:hyperlink>
    </w:p>
    <w:p w14:paraId="012947F7" w14:textId="77777777" w:rsidR="00CF687B" w:rsidRDefault="005C5BA2">
      <w:pPr>
        <w:pStyle w:val="TOC3"/>
        <w:rPr>
          <w:rFonts w:asciiTheme="minorHAnsi" w:eastAsiaTheme="minorEastAsia" w:hAnsiTheme="minorHAnsi" w:cstheme="minorBidi"/>
          <w:sz w:val="22"/>
          <w:szCs w:val="22"/>
        </w:rPr>
      </w:pPr>
      <w:hyperlink w:anchor="_Toc363131927" w:history="1">
        <w:r w:rsidR="00CF687B" w:rsidRPr="009649F8">
          <w:rPr>
            <w:rStyle w:val="Hyperlink"/>
          </w:rPr>
          <w:t>4.2.2</w:t>
        </w:r>
        <w:r w:rsidR="00CF687B">
          <w:rPr>
            <w:rFonts w:asciiTheme="minorHAnsi" w:eastAsiaTheme="minorEastAsia" w:hAnsiTheme="minorHAnsi" w:cstheme="minorBidi"/>
            <w:sz w:val="22"/>
            <w:szCs w:val="22"/>
          </w:rPr>
          <w:tab/>
        </w:r>
        <w:r w:rsidR="00CF687B" w:rsidRPr="009649F8">
          <w:rPr>
            <w:rStyle w:val="Hyperlink"/>
          </w:rPr>
          <w:t>Calculation of Run Time and Gas Consumption</w:t>
        </w:r>
        <w:r w:rsidR="00CF687B">
          <w:rPr>
            <w:webHidden/>
          </w:rPr>
          <w:tab/>
        </w:r>
        <w:r w:rsidR="00CF687B">
          <w:rPr>
            <w:webHidden/>
          </w:rPr>
          <w:fldChar w:fldCharType="begin"/>
        </w:r>
        <w:r w:rsidR="00CF687B">
          <w:rPr>
            <w:webHidden/>
          </w:rPr>
          <w:instrText xml:space="preserve"> PAGEREF _Toc363131927 \h </w:instrText>
        </w:r>
        <w:r w:rsidR="00CF687B">
          <w:rPr>
            <w:webHidden/>
          </w:rPr>
        </w:r>
        <w:r w:rsidR="00CF687B">
          <w:rPr>
            <w:webHidden/>
          </w:rPr>
          <w:fldChar w:fldCharType="separate"/>
        </w:r>
        <w:r w:rsidR="00C0011F">
          <w:rPr>
            <w:webHidden/>
          </w:rPr>
          <w:t>17</w:t>
        </w:r>
        <w:r w:rsidR="00CF687B">
          <w:rPr>
            <w:webHidden/>
          </w:rPr>
          <w:fldChar w:fldCharType="end"/>
        </w:r>
      </w:hyperlink>
    </w:p>
    <w:p w14:paraId="012947F8" w14:textId="77777777" w:rsidR="00AE0D1A" w:rsidRDefault="00AE0D1A" w:rsidP="00AE0D1A">
      <w:r>
        <w:rPr>
          <w:b/>
          <w:noProof/>
          <w:snapToGrid w:val="0"/>
          <w:sz w:val="24"/>
        </w:rPr>
        <w:fldChar w:fldCharType="end"/>
      </w:r>
    </w:p>
    <w:p w14:paraId="012947F9" w14:textId="77777777" w:rsidR="00AE0D1A" w:rsidRDefault="00AE0D1A" w:rsidP="00AE0D1A"/>
    <w:p w14:paraId="012947FA" w14:textId="77777777" w:rsidR="00AE0D1A" w:rsidRDefault="00AE0D1A" w:rsidP="00AE0D1A">
      <w:pPr>
        <w:pStyle w:val="TOCHeading"/>
      </w:pPr>
      <w:r>
        <w:lastRenderedPageBreak/>
        <w:t>List of Figures and Tables</w:t>
      </w:r>
    </w:p>
    <w:p w14:paraId="012947FB" w14:textId="77777777" w:rsidR="00AE0D1A" w:rsidRDefault="00AE0D1A" w:rsidP="00AE0D1A">
      <w:pPr>
        <w:rPr>
          <w:b/>
          <w:i/>
        </w:rPr>
      </w:pPr>
      <w:r>
        <w:rPr>
          <w:b/>
          <w:i/>
        </w:rPr>
        <w:t>Figures:</w:t>
      </w:r>
    </w:p>
    <w:p w14:paraId="012947FC" w14:textId="77777777" w:rsidR="00CF687B" w:rsidRDefault="00AE0D1A">
      <w:pPr>
        <w:pStyle w:val="TableofFigures"/>
        <w:rPr>
          <w:rFonts w:asciiTheme="minorHAnsi" w:eastAsiaTheme="minorEastAsia" w:hAnsiTheme="minorHAnsi" w:cstheme="minorBidi"/>
          <w:noProof/>
          <w:sz w:val="22"/>
          <w:szCs w:val="22"/>
        </w:rPr>
      </w:pPr>
      <w:r>
        <w:fldChar w:fldCharType="begin"/>
      </w:r>
      <w:r>
        <w:instrText xml:space="preserve"> TOC \h \z \c "Figure" </w:instrText>
      </w:r>
      <w:r>
        <w:fldChar w:fldCharType="separate"/>
      </w:r>
      <w:hyperlink w:anchor="_Toc363131928" w:history="1">
        <w:r w:rsidR="00CF687B" w:rsidRPr="00B525E2">
          <w:rPr>
            <w:rStyle w:val="Hyperlink"/>
            <w:noProof/>
          </w:rPr>
          <w:t>Figure 1</w:t>
        </w:r>
        <w:r w:rsidR="00CF687B" w:rsidRPr="00B525E2">
          <w:rPr>
            <w:rStyle w:val="Hyperlink"/>
            <w:noProof/>
          </w:rPr>
          <w:noBreakHyphen/>
          <w:t>1: Map of Billing Data and Metered Samples</w:t>
        </w:r>
        <w:r w:rsidR="00CF687B">
          <w:rPr>
            <w:noProof/>
            <w:webHidden/>
          </w:rPr>
          <w:tab/>
        </w:r>
        <w:r w:rsidR="00CF687B">
          <w:rPr>
            <w:noProof/>
            <w:webHidden/>
          </w:rPr>
          <w:fldChar w:fldCharType="begin"/>
        </w:r>
        <w:r w:rsidR="00CF687B">
          <w:rPr>
            <w:noProof/>
            <w:webHidden/>
          </w:rPr>
          <w:instrText xml:space="preserve"> PAGEREF _Toc363131928 \h </w:instrText>
        </w:r>
        <w:r w:rsidR="00CF687B">
          <w:rPr>
            <w:noProof/>
            <w:webHidden/>
          </w:rPr>
        </w:r>
        <w:r w:rsidR="00CF687B">
          <w:rPr>
            <w:noProof/>
            <w:webHidden/>
          </w:rPr>
          <w:fldChar w:fldCharType="separate"/>
        </w:r>
        <w:r w:rsidR="00CF687B">
          <w:rPr>
            <w:noProof/>
            <w:webHidden/>
          </w:rPr>
          <w:t>4</w:t>
        </w:r>
        <w:r w:rsidR="00CF687B">
          <w:rPr>
            <w:noProof/>
            <w:webHidden/>
          </w:rPr>
          <w:fldChar w:fldCharType="end"/>
        </w:r>
      </w:hyperlink>
    </w:p>
    <w:p w14:paraId="012947FD" w14:textId="77777777" w:rsidR="00CF687B" w:rsidRDefault="005C5BA2">
      <w:pPr>
        <w:pStyle w:val="TableofFigures"/>
        <w:rPr>
          <w:rFonts w:asciiTheme="minorHAnsi" w:eastAsiaTheme="minorEastAsia" w:hAnsiTheme="minorHAnsi" w:cstheme="minorBidi"/>
          <w:noProof/>
          <w:sz w:val="22"/>
          <w:szCs w:val="22"/>
        </w:rPr>
      </w:pPr>
      <w:hyperlink w:anchor="_Toc363131929" w:history="1">
        <w:r w:rsidR="00CF687B" w:rsidRPr="00B525E2">
          <w:rPr>
            <w:rStyle w:val="Hyperlink"/>
            <w:noProof/>
          </w:rPr>
          <w:t>Figure 1</w:t>
        </w:r>
        <w:r w:rsidR="00CF687B" w:rsidRPr="00B525E2">
          <w:rPr>
            <w:rStyle w:val="Hyperlink"/>
            <w:noProof/>
          </w:rPr>
          <w:noBreakHyphen/>
          <w:t>2: Example Installation of Current Transducers on Dual Stage Furnace</w:t>
        </w:r>
        <w:r w:rsidR="00CF687B">
          <w:rPr>
            <w:noProof/>
            <w:webHidden/>
          </w:rPr>
          <w:tab/>
        </w:r>
        <w:r w:rsidR="00CF687B">
          <w:rPr>
            <w:noProof/>
            <w:webHidden/>
          </w:rPr>
          <w:fldChar w:fldCharType="begin"/>
        </w:r>
        <w:r w:rsidR="00CF687B">
          <w:rPr>
            <w:noProof/>
            <w:webHidden/>
          </w:rPr>
          <w:instrText xml:space="preserve"> PAGEREF _Toc363131929 \h </w:instrText>
        </w:r>
        <w:r w:rsidR="00CF687B">
          <w:rPr>
            <w:noProof/>
            <w:webHidden/>
          </w:rPr>
        </w:r>
        <w:r w:rsidR="00CF687B">
          <w:rPr>
            <w:noProof/>
            <w:webHidden/>
          </w:rPr>
          <w:fldChar w:fldCharType="separate"/>
        </w:r>
        <w:r w:rsidR="00CF687B">
          <w:rPr>
            <w:noProof/>
            <w:webHidden/>
          </w:rPr>
          <w:t>6</w:t>
        </w:r>
        <w:r w:rsidR="00CF687B">
          <w:rPr>
            <w:noProof/>
            <w:webHidden/>
          </w:rPr>
          <w:fldChar w:fldCharType="end"/>
        </w:r>
      </w:hyperlink>
    </w:p>
    <w:p w14:paraId="012947FE" w14:textId="77777777" w:rsidR="00CF687B" w:rsidRDefault="005C5BA2">
      <w:pPr>
        <w:pStyle w:val="TableofFigures"/>
        <w:rPr>
          <w:rFonts w:asciiTheme="minorHAnsi" w:eastAsiaTheme="minorEastAsia" w:hAnsiTheme="minorHAnsi" w:cstheme="minorBidi"/>
          <w:noProof/>
          <w:sz w:val="22"/>
          <w:szCs w:val="22"/>
        </w:rPr>
      </w:pPr>
      <w:hyperlink w:anchor="_Toc363131930" w:history="1">
        <w:r w:rsidR="00CF687B" w:rsidRPr="00B525E2">
          <w:rPr>
            <w:rStyle w:val="Hyperlink"/>
            <w:noProof/>
          </w:rPr>
          <w:t>Figure 1</w:t>
        </w:r>
        <w:r w:rsidR="00CF687B" w:rsidRPr="00B525E2">
          <w:rPr>
            <w:rStyle w:val="Hyperlink"/>
            <w:noProof/>
          </w:rPr>
          <w:noBreakHyphen/>
          <w:t>3: Example Weekly Furnace Operation Graphs</w:t>
        </w:r>
        <w:r w:rsidR="00CF687B">
          <w:rPr>
            <w:noProof/>
            <w:webHidden/>
          </w:rPr>
          <w:tab/>
        </w:r>
        <w:r w:rsidR="00CF687B">
          <w:rPr>
            <w:noProof/>
            <w:webHidden/>
          </w:rPr>
          <w:fldChar w:fldCharType="begin"/>
        </w:r>
        <w:r w:rsidR="00CF687B">
          <w:rPr>
            <w:noProof/>
            <w:webHidden/>
          </w:rPr>
          <w:instrText xml:space="preserve"> PAGEREF _Toc363131930 \h </w:instrText>
        </w:r>
        <w:r w:rsidR="00CF687B">
          <w:rPr>
            <w:noProof/>
            <w:webHidden/>
          </w:rPr>
        </w:r>
        <w:r w:rsidR="00CF687B">
          <w:rPr>
            <w:noProof/>
            <w:webHidden/>
          </w:rPr>
          <w:fldChar w:fldCharType="separate"/>
        </w:r>
        <w:r w:rsidR="00CF687B">
          <w:rPr>
            <w:noProof/>
            <w:webHidden/>
          </w:rPr>
          <w:t>7</w:t>
        </w:r>
        <w:r w:rsidR="00CF687B">
          <w:rPr>
            <w:noProof/>
            <w:webHidden/>
          </w:rPr>
          <w:fldChar w:fldCharType="end"/>
        </w:r>
      </w:hyperlink>
    </w:p>
    <w:p w14:paraId="012947FF" w14:textId="77777777" w:rsidR="00CF687B" w:rsidRDefault="005C5BA2">
      <w:pPr>
        <w:pStyle w:val="TableofFigures"/>
        <w:rPr>
          <w:rFonts w:asciiTheme="minorHAnsi" w:eastAsiaTheme="minorEastAsia" w:hAnsiTheme="minorHAnsi" w:cstheme="minorBidi"/>
          <w:noProof/>
          <w:sz w:val="22"/>
          <w:szCs w:val="22"/>
        </w:rPr>
      </w:pPr>
      <w:hyperlink w:anchor="_Toc363131931" w:history="1">
        <w:r w:rsidR="00CF687B" w:rsidRPr="00B525E2">
          <w:rPr>
            <w:rStyle w:val="Hyperlink"/>
            <w:noProof/>
          </w:rPr>
          <w:t>Figure 1</w:t>
        </w:r>
        <w:r w:rsidR="00CF687B" w:rsidRPr="00B525E2">
          <w:rPr>
            <w:rStyle w:val="Hyperlink"/>
            <w:noProof/>
          </w:rPr>
          <w:noBreakHyphen/>
          <w:t>4: Comparison of Heating and Total Therms Between Billing and Modeled Data</w:t>
        </w:r>
        <w:r w:rsidR="00CF687B">
          <w:rPr>
            <w:noProof/>
            <w:webHidden/>
          </w:rPr>
          <w:tab/>
        </w:r>
        <w:r w:rsidR="00CF687B">
          <w:rPr>
            <w:noProof/>
            <w:webHidden/>
          </w:rPr>
          <w:fldChar w:fldCharType="begin"/>
        </w:r>
        <w:r w:rsidR="00CF687B">
          <w:rPr>
            <w:noProof/>
            <w:webHidden/>
          </w:rPr>
          <w:instrText xml:space="preserve"> PAGEREF _Toc363131931 \h </w:instrText>
        </w:r>
        <w:r w:rsidR="00CF687B">
          <w:rPr>
            <w:noProof/>
            <w:webHidden/>
          </w:rPr>
        </w:r>
        <w:r w:rsidR="00CF687B">
          <w:rPr>
            <w:noProof/>
            <w:webHidden/>
          </w:rPr>
          <w:fldChar w:fldCharType="separate"/>
        </w:r>
        <w:r w:rsidR="00CF687B">
          <w:rPr>
            <w:noProof/>
            <w:webHidden/>
          </w:rPr>
          <w:t>8</w:t>
        </w:r>
        <w:r w:rsidR="00CF687B">
          <w:rPr>
            <w:noProof/>
            <w:webHidden/>
          </w:rPr>
          <w:fldChar w:fldCharType="end"/>
        </w:r>
      </w:hyperlink>
    </w:p>
    <w:p w14:paraId="01294800" w14:textId="77777777" w:rsidR="00CF687B" w:rsidRDefault="005C5BA2">
      <w:pPr>
        <w:pStyle w:val="TableofFigures"/>
        <w:rPr>
          <w:rFonts w:asciiTheme="minorHAnsi" w:eastAsiaTheme="minorEastAsia" w:hAnsiTheme="minorHAnsi" w:cstheme="minorBidi"/>
          <w:noProof/>
          <w:sz w:val="22"/>
          <w:szCs w:val="22"/>
        </w:rPr>
      </w:pPr>
      <w:hyperlink w:anchor="_Toc363131932" w:history="1">
        <w:r w:rsidR="00CF687B" w:rsidRPr="00B525E2">
          <w:rPr>
            <w:rStyle w:val="Hyperlink"/>
            <w:noProof/>
          </w:rPr>
          <w:t>Figure 1</w:t>
        </w:r>
        <w:r w:rsidR="00CF687B" w:rsidRPr="00B525E2">
          <w:rPr>
            <w:rStyle w:val="Hyperlink"/>
            <w:noProof/>
          </w:rPr>
          <w:noBreakHyphen/>
          <w:t>5: Illustration of Results Roll-up</w:t>
        </w:r>
        <w:r w:rsidR="00CF687B">
          <w:rPr>
            <w:noProof/>
            <w:webHidden/>
          </w:rPr>
          <w:tab/>
        </w:r>
        <w:r w:rsidR="00CF687B">
          <w:rPr>
            <w:noProof/>
            <w:webHidden/>
          </w:rPr>
          <w:fldChar w:fldCharType="begin"/>
        </w:r>
        <w:r w:rsidR="00CF687B">
          <w:rPr>
            <w:noProof/>
            <w:webHidden/>
          </w:rPr>
          <w:instrText xml:space="preserve"> PAGEREF _Toc363131932 \h </w:instrText>
        </w:r>
        <w:r w:rsidR="00CF687B">
          <w:rPr>
            <w:noProof/>
            <w:webHidden/>
          </w:rPr>
        </w:r>
        <w:r w:rsidR="00CF687B">
          <w:rPr>
            <w:noProof/>
            <w:webHidden/>
          </w:rPr>
          <w:fldChar w:fldCharType="separate"/>
        </w:r>
        <w:r w:rsidR="00CF687B">
          <w:rPr>
            <w:noProof/>
            <w:webHidden/>
          </w:rPr>
          <w:t>9</w:t>
        </w:r>
        <w:r w:rsidR="00CF687B">
          <w:rPr>
            <w:noProof/>
            <w:webHidden/>
          </w:rPr>
          <w:fldChar w:fldCharType="end"/>
        </w:r>
      </w:hyperlink>
    </w:p>
    <w:p w14:paraId="01294801" w14:textId="77777777" w:rsidR="00CF687B" w:rsidRDefault="005C5BA2">
      <w:pPr>
        <w:pStyle w:val="TableofFigures"/>
        <w:rPr>
          <w:rFonts w:asciiTheme="minorHAnsi" w:eastAsiaTheme="minorEastAsia" w:hAnsiTheme="minorHAnsi" w:cstheme="minorBidi"/>
          <w:noProof/>
          <w:sz w:val="22"/>
          <w:szCs w:val="22"/>
        </w:rPr>
      </w:pPr>
      <w:hyperlink w:anchor="_Toc363131933" w:history="1">
        <w:r w:rsidR="00CF687B" w:rsidRPr="00B525E2">
          <w:rPr>
            <w:rStyle w:val="Hyperlink"/>
            <w:noProof/>
          </w:rPr>
          <w:t>Figure 4</w:t>
        </w:r>
        <w:r w:rsidR="00CF687B" w:rsidRPr="00B525E2">
          <w:rPr>
            <w:rStyle w:val="Hyperlink"/>
            <w:noProof/>
          </w:rPr>
          <w:noBreakHyphen/>
          <w:t>1: Example of “Flicker” Identification via Histogram Chart of Event Duration</w:t>
        </w:r>
        <w:r w:rsidR="00CF687B">
          <w:rPr>
            <w:noProof/>
            <w:webHidden/>
          </w:rPr>
          <w:tab/>
        </w:r>
        <w:r w:rsidR="00CF687B">
          <w:rPr>
            <w:noProof/>
            <w:webHidden/>
          </w:rPr>
          <w:fldChar w:fldCharType="begin"/>
        </w:r>
        <w:r w:rsidR="00CF687B">
          <w:rPr>
            <w:noProof/>
            <w:webHidden/>
          </w:rPr>
          <w:instrText xml:space="preserve"> PAGEREF _Toc363131933 \h </w:instrText>
        </w:r>
        <w:r w:rsidR="00CF687B">
          <w:rPr>
            <w:noProof/>
            <w:webHidden/>
          </w:rPr>
        </w:r>
        <w:r w:rsidR="00CF687B">
          <w:rPr>
            <w:noProof/>
            <w:webHidden/>
          </w:rPr>
          <w:fldChar w:fldCharType="separate"/>
        </w:r>
        <w:r w:rsidR="00CF687B">
          <w:rPr>
            <w:noProof/>
            <w:webHidden/>
          </w:rPr>
          <w:t>15</w:t>
        </w:r>
        <w:r w:rsidR="00CF687B">
          <w:rPr>
            <w:noProof/>
            <w:webHidden/>
          </w:rPr>
          <w:fldChar w:fldCharType="end"/>
        </w:r>
      </w:hyperlink>
    </w:p>
    <w:p w14:paraId="01294802" w14:textId="77777777" w:rsidR="00CF687B" w:rsidRDefault="005C5BA2">
      <w:pPr>
        <w:pStyle w:val="TableofFigures"/>
        <w:rPr>
          <w:rFonts w:asciiTheme="minorHAnsi" w:eastAsiaTheme="minorEastAsia" w:hAnsiTheme="minorHAnsi" w:cstheme="minorBidi"/>
          <w:noProof/>
          <w:sz w:val="22"/>
          <w:szCs w:val="22"/>
        </w:rPr>
      </w:pPr>
      <w:hyperlink w:anchor="_Toc363131934" w:history="1">
        <w:r w:rsidR="00CF687B" w:rsidRPr="00B525E2">
          <w:rPr>
            <w:rStyle w:val="Hyperlink"/>
            <w:noProof/>
          </w:rPr>
          <w:t>Figure 4</w:t>
        </w:r>
        <w:r w:rsidR="00CF687B" w:rsidRPr="00B525E2">
          <w:rPr>
            <w:rStyle w:val="Hyperlink"/>
            <w:noProof/>
          </w:rPr>
          <w:noBreakHyphen/>
          <w:t>2: Example of High ”Flicker” Identification via Histogram Chart of Event Duration</w:t>
        </w:r>
        <w:r w:rsidR="00CF687B">
          <w:rPr>
            <w:noProof/>
            <w:webHidden/>
          </w:rPr>
          <w:tab/>
        </w:r>
        <w:r w:rsidR="00CF687B">
          <w:rPr>
            <w:noProof/>
            <w:webHidden/>
          </w:rPr>
          <w:fldChar w:fldCharType="begin"/>
        </w:r>
        <w:r w:rsidR="00CF687B">
          <w:rPr>
            <w:noProof/>
            <w:webHidden/>
          </w:rPr>
          <w:instrText xml:space="preserve"> PAGEREF _Toc363131934 \h </w:instrText>
        </w:r>
        <w:r w:rsidR="00CF687B">
          <w:rPr>
            <w:noProof/>
            <w:webHidden/>
          </w:rPr>
        </w:r>
        <w:r w:rsidR="00CF687B">
          <w:rPr>
            <w:noProof/>
            <w:webHidden/>
          </w:rPr>
          <w:fldChar w:fldCharType="separate"/>
        </w:r>
        <w:r w:rsidR="00CF687B">
          <w:rPr>
            <w:noProof/>
            <w:webHidden/>
          </w:rPr>
          <w:t>15</w:t>
        </w:r>
        <w:r w:rsidR="00CF687B">
          <w:rPr>
            <w:noProof/>
            <w:webHidden/>
          </w:rPr>
          <w:fldChar w:fldCharType="end"/>
        </w:r>
      </w:hyperlink>
    </w:p>
    <w:p w14:paraId="01294803" w14:textId="77777777" w:rsidR="00CF687B" w:rsidRDefault="005C5BA2">
      <w:pPr>
        <w:pStyle w:val="TableofFigures"/>
        <w:rPr>
          <w:rFonts w:asciiTheme="minorHAnsi" w:eastAsiaTheme="minorEastAsia" w:hAnsiTheme="minorHAnsi" w:cstheme="minorBidi"/>
          <w:noProof/>
          <w:sz w:val="22"/>
          <w:szCs w:val="22"/>
        </w:rPr>
      </w:pPr>
      <w:hyperlink w:anchor="_Toc363131935" w:history="1">
        <w:r w:rsidR="00CF687B" w:rsidRPr="00B525E2">
          <w:rPr>
            <w:rStyle w:val="Hyperlink"/>
            <w:noProof/>
          </w:rPr>
          <w:t>Figure 4</w:t>
        </w:r>
        <w:r w:rsidR="00CF687B" w:rsidRPr="00B525E2">
          <w:rPr>
            <w:rStyle w:val="Hyperlink"/>
            <w:noProof/>
          </w:rPr>
          <w:noBreakHyphen/>
          <w:t>3: Example Weekly Furnace Operation Graphs</w:t>
        </w:r>
        <w:r w:rsidR="00CF687B">
          <w:rPr>
            <w:noProof/>
            <w:webHidden/>
          </w:rPr>
          <w:tab/>
        </w:r>
        <w:r w:rsidR="00CF687B">
          <w:rPr>
            <w:noProof/>
            <w:webHidden/>
          </w:rPr>
          <w:fldChar w:fldCharType="begin"/>
        </w:r>
        <w:r w:rsidR="00CF687B">
          <w:rPr>
            <w:noProof/>
            <w:webHidden/>
          </w:rPr>
          <w:instrText xml:space="preserve"> PAGEREF _Toc363131935 \h </w:instrText>
        </w:r>
        <w:r w:rsidR="00CF687B">
          <w:rPr>
            <w:noProof/>
            <w:webHidden/>
          </w:rPr>
        </w:r>
        <w:r w:rsidR="00CF687B">
          <w:rPr>
            <w:noProof/>
            <w:webHidden/>
          </w:rPr>
          <w:fldChar w:fldCharType="separate"/>
        </w:r>
        <w:r w:rsidR="00CF687B">
          <w:rPr>
            <w:noProof/>
            <w:webHidden/>
          </w:rPr>
          <w:t>16</w:t>
        </w:r>
        <w:r w:rsidR="00CF687B">
          <w:rPr>
            <w:noProof/>
            <w:webHidden/>
          </w:rPr>
          <w:fldChar w:fldCharType="end"/>
        </w:r>
      </w:hyperlink>
    </w:p>
    <w:p w14:paraId="01294804" w14:textId="77777777" w:rsidR="00AE0D1A" w:rsidRDefault="00AE0D1A" w:rsidP="00AE0D1A">
      <w:pPr>
        <w:tabs>
          <w:tab w:val="clear" w:pos="720"/>
          <w:tab w:val="right" w:leader="dot" w:pos="9270"/>
        </w:tabs>
      </w:pPr>
      <w:r>
        <w:fldChar w:fldCharType="end"/>
      </w:r>
    </w:p>
    <w:p w14:paraId="01294805" w14:textId="77777777" w:rsidR="00AE0D1A" w:rsidRDefault="00AE0D1A" w:rsidP="00AE0D1A">
      <w:pPr>
        <w:tabs>
          <w:tab w:val="clear" w:pos="720"/>
          <w:tab w:val="right" w:pos="9270"/>
        </w:tabs>
      </w:pPr>
      <w:r>
        <w:rPr>
          <w:b/>
          <w:i/>
        </w:rPr>
        <w:t>Tables:</w:t>
      </w:r>
    </w:p>
    <w:p w14:paraId="01294806" w14:textId="77777777" w:rsidR="00CF687B" w:rsidRDefault="00AE0D1A">
      <w:pPr>
        <w:pStyle w:val="TableofFigures"/>
        <w:rPr>
          <w:rFonts w:asciiTheme="minorHAnsi" w:eastAsiaTheme="minorEastAsia" w:hAnsiTheme="minorHAnsi" w:cstheme="minorBidi"/>
          <w:noProof/>
          <w:sz w:val="22"/>
          <w:szCs w:val="22"/>
        </w:rPr>
      </w:pPr>
      <w:r>
        <w:fldChar w:fldCharType="begin"/>
      </w:r>
      <w:r>
        <w:instrText xml:space="preserve"> TOC \h \z \c "Table" </w:instrText>
      </w:r>
      <w:r>
        <w:fldChar w:fldCharType="separate"/>
      </w:r>
      <w:hyperlink w:anchor="_Toc363131936" w:history="1">
        <w:r w:rsidR="00CF687B" w:rsidRPr="00BA38A6">
          <w:rPr>
            <w:rStyle w:val="Hyperlink"/>
            <w:noProof/>
          </w:rPr>
          <w:t>Table E</w:t>
        </w:r>
        <w:r w:rsidR="00CF687B" w:rsidRPr="00BA38A6">
          <w:rPr>
            <w:rStyle w:val="Hyperlink"/>
            <w:noProof/>
          </w:rPr>
          <w:noBreakHyphen/>
          <w:t>1. Final Furnace Study Results</w:t>
        </w:r>
        <w:r w:rsidR="00CF687B">
          <w:rPr>
            <w:noProof/>
            <w:webHidden/>
          </w:rPr>
          <w:tab/>
        </w:r>
        <w:r w:rsidR="00CF687B">
          <w:rPr>
            <w:noProof/>
            <w:webHidden/>
          </w:rPr>
          <w:fldChar w:fldCharType="begin"/>
        </w:r>
        <w:r w:rsidR="00CF687B">
          <w:rPr>
            <w:noProof/>
            <w:webHidden/>
          </w:rPr>
          <w:instrText xml:space="preserve"> PAGEREF _Toc363131936 \h </w:instrText>
        </w:r>
        <w:r w:rsidR="00CF687B">
          <w:rPr>
            <w:noProof/>
            <w:webHidden/>
          </w:rPr>
        </w:r>
        <w:r w:rsidR="00CF687B">
          <w:rPr>
            <w:noProof/>
            <w:webHidden/>
          </w:rPr>
          <w:fldChar w:fldCharType="separate"/>
        </w:r>
        <w:r w:rsidR="00CF687B">
          <w:rPr>
            <w:noProof/>
            <w:webHidden/>
          </w:rPr>
          <w:t>1</w:t>
        </w:r>
        <w:r w:rsidR="00CF687B">
          <w:rPr>
            <w:noProof/>
            <w:webHidden/>
          </w:rPr>
          <w:fldChar w:fldCharType="end"/>
        </w:r>
      </w:hyperlink>
    </w:p>
    <w:p w14:paraId="01294807" w14:textId="77777777" w:rsidR="00CF687B" w:rsidRDefault="005C5BA2">
      <w:pPr>
        <w:pStyle w:val="TableofFigures"/>
        <w:rPr>
          <w:rFonts w:asciiTheme="minorHAnsi" w:eastAsiaTheme="minorEastAsia" w:hAnsiTheme="minorHAnsi" w:cstheme="minorBidi"/>
          <w:noProof/>
          <w:sz w:val="22"/>
          <w:szCs w:val="22"/>
        </w:rPr>
      </w:pPr>
      <w:hyperlink w:anchor="_Toc363131937" w:history="1">
        <w:r w:rsidR="00CF687B" w:rsidRPr="00BA38A6">
          <w:rPr>
            <w:rStyle w:val="Hyperlink"/>
            <w:noProof/>
          </w:rPr>
          <w:t>Table 1</w:t>
        </w:r>
        <w:r w:rsidR="00CF687B" w:rsidRPr="00BA38A6">
          <w:rPr>
            <w:rStyle w:val="Hyperlink"/>
            <w:noProof/>
          </w:rPr>
          <w:noBreakHyphen/>
          <w:t>1: Sample Selection Process</w:t>
        </w:r>
        <w:r w:rsidR="00CF687B">
          <w:rPr>
            <w:noProof/>
            <w:webHidden/>
          </w:rPr>
          <w:tab/>
        </w:r>
        <w:r w:rsidR="00CF687B">
          <w:rPr>
            <w:noProof/>
            <w:webHidden/>
          </w:rPr>
          <w:fldChar w:fldCharType="begin"/>
        </w:r>
        <w:r w:rsidR="00CF687B">
          <w:rPr>
            <w:noProof/>
            <w:webHidden/>
          </w:rPr>
          <w:instrText xml:space="preserve"> PAGEREF _Toc363131937 \h </w:instrText>
        </w:r>
        <w:r w:rsidR="00CF687B">
          <w:rPr>
            <w:noProof/>
            <w:webHidden/>
          </w:rPr>
        </w:r>
        <w:r w:rsidR="00CF687B">
          <w:rPr>
            <w:noProof/>
            <w:webHidden/>
          </w:rPr>
          <w:fldChar w:fldCharType="separate"/>
        </w:r>
        <w:r w:rsidR="00CF687B">
          <w:rPr>
            <w:noProof/>
            <w:webHidden/>
          </w:rPr>
          <w:t>4</w:t>
        </w:r>
        <w:r w:rsidR="00CF687B">
          <w:rPr>
            <w:noProof/>
            <w:webHidden/>
          </w:rPr>
          <w:fldChar w:fldCharType="end"/>
        </w:r>
      </w:hyperlink>
    </w:p>
    <w:p w14:paraId="01294808" w14:textId="77777777" w:rsidR="00CF687B" w:rsidRDefault="005C5BA2">
      <w:pPr>
        <w:pStyle w:val="TableofFigures"/>
        <w:rPr>
          <w:rFonts w:asciiTheme="minorHAnsi" w:eastAsiaTheme="minorEastAsia" w:hAnsiTheme="minorHAnsi" w:cstheme="minorBidi"/>
          <w:noProof/>
          <w:sz w:val="22"/>
          <w:szCs w:val="22"/>
        </w:rPr>
      </w:pPr>
      <w:hyperlink w:anchor="_Toc363131938" w:history="1">
        <w:r w:rsidR="00CF687B" w:rsidRPr="00BA38A6">
          <w:rPr>
            <w:rStyle w:val="Hyperlink"/>
            <w:noProof/>
          </w:rPr>
          <w:t>Table 2</w:t>
        </w:r>
        <w:r w:rsidR="00CF687B" w:rsidRPr="00BA38A6">
          <w:rPr>
            <w:rStyle w:val="Hyperlink"/>
            <w:noProof/>
          </w:rPr>
          <w:noBreakHyphen/>
          <w:t>1: Final Results and Statistics</w:t>
        </w:r>
        <w:r w:rsidR="00CF687B">
          <w:rPr>
            <w:noProof/>
            <w:webHidden/>
          </w:rPr>
          <w:tab/>
        </w:r>
        <w:r w:rsidR="00CF687B">
          <w:rPr>
            <w:noProof/>
            <w:webHidden/>
          </w:rPr>
          <w:fldChar w:fldCharType="begin"/>
        </w:r>
        <w:r w:rsidR="00CF687B">
          <w:rPr>
            <w:noProof/>
            <w:webHidden/>
          </w:rPr>
          <w:instrText xml:space="preserve"> PAGEREF _Toc363131938 \h </w:instrText>
        </w:r>
        <w:r w:rsidR="00CF687B">
          <w:rPr>
            <w:noProof/>
            <w:webHidden/>
          </w:rPr>
        </w:r>
        <w:r w:rsidR="00CF687B">
          <w:rPr>
            <w:noProof/>
            <w:webHidden/>
          </w:rPr>
          <w:fldChar w:fldCharType="separate"/>
        </w:r>
        <w:r w:rsidR="00CF687B">
          <w:rPr>
            <w:noProof/>
            <w:webHidden/>
          </w:rPr>
          <w:t>10</w:t>
        </w:r>
        <w:r w:rsidR="00CF687B">
          <w:rPr>
            <w:noProof/>
            <w:webHidden/>
          </w:rPr>
          <w:fldChar w:fldCharType="end"/>
        </w:r>
      </w:hyperlink>
    </w:p>
    <w:p w14:paraId="01294809" w14:textId="77777777" w:rsidR="00CF687B" w:rsidRDefault="005C5BA2">
      <w:pPr>
        <w:pStyle w:val="TableofFigures"/>
        <w:rPr>
          <w:rFonts w:asciiTheme="minorHAnsi" w:eastAsiaTheme="minorEastAsia" w:hAnsiTheme="minorHAnsi" w:cstheme="minorBidi"/>
          <w:noProof/>
          <w:sz w:val="22"/>
          <w:szCs w:val="22"/>
        </w:rPr>
      </w:pPr>
      <w:hyperlink w:anchor="_Toc363131939" w:history="1">
        <w:r w:rsidR="00CF687B" w:rsidRPr="00BA38A6">
          <w:rPr>
            <w:rStyle w:val="Hyperlink"/>
            <w:noProof/>
          </w:rPr>
          <w:t>Table 2</w:t>
        </w:r>
        <w:r w:rsidR="00CF687B" w:rsidRPr="00BA38A6">
          <w:rPr>
            <w:rStyle w:val="Hyperlink"/>
            <w:noProof/>
          </w:rPr>
          <w:noBreakHyphen/>
          <w:t>2: Final Results for Average Therm Savings and EFLH</w:t>
        </w:r>
        <w:r w:rsidR="00CF687B">
          <w:rPr>
            <w:noProof/>
            <w:webHidden/>
          </w:rPr>
          <w:tab/>
        </w:r>
        <w:r w:rsidR="00CF687B">
          <w:rPr>
            <w:noProof/>
            <w:webHidden/>
          </w:rPr>
          <w:fldChar w:fldCharType="begin"/>
        </w:r>
        <w:r w:rsidR="00CF687B">
          <w:rPr>
            <w:noProof/>
            <w:webHidden/>
          </w:rPr>
          <w:instrText xml:space="preserve"> PAGEREF _Toc363131939 \h </w:instrText>
        </w:r>
        <w:r w:rsidR="00CF687B">
          <w:rPr>
            <w:noProof/>
            <w:webHidden/>
          </w:rPr>
        </w:r>
        <w:r w:rsidR="00CF687B">
          <w:rPr>
            <w:noProof/>
            <w:webHidden/>
          </w:rPr>
          <w:fldChar w:fldCharType="separate"/>
        </w:r>
        <w:r w:rsidR="00CF687B">
          <w:rPr>
            <w:noProof/>
            <w:webHidden/>
          </w:rPr>
          <w:t>11</w:t>
        </w:r>
        <w:r w:rsidR="00CF687B">
          <w:rPr>
            <w:noProof/>
            <w:webHidden/>
          </w:rPr>
          <w:fldChar w:fldCharType="end"/>
        </w:r>
      </w:hyperlink>
    </w:p>
    <w:p w14:paraId="0129480A" w14:textId="77777777" w:rsidR="00CF687B" w:rsidRDefault="005C5BA2">
      <w:pPr>
        <w:pStyle w:val="TableofFigures"/>
        <w:rPr>
          <w:rFonts w:asciiTheme="minorHAnsi" w:eastAsiaTheme="minorEastAsia" w:hAnsiTheme="minorHAnsi" w:cstheme="minorBidi"/>
          <w:noProof/>
          <w:sz w:val="22"/>
          <w:szCs w:val="22"/>
        </w:rPr>
      </w:pPr>
      <w:hyperlink w:anchor="_Toc363131940" w:history="1">
        <w:r w:rsidR="00CF687B" w:rsidRPr="00BA38A6">
          <w:rPr>
            <w:rStyle w:val="Hyperlink"/>
            <w:noProof/>
          </w:rPr>
          <w:t>Table 4</w:t>
        </w:r>
        <w:r w:rsidR="00CF687B" w:rsidRPr="00BA38A6">
          <w:rPr>
            <w:rStyle w:val="Hyperlink"/>
            <w:noProof/>
          </w:rPr>
          <w:noBreakHyphen/>
          <w:t>1. Heating Percentage Factor Inputs</w:t>
        </w:r>
        <w:r w:rsidR="00CF687B">
          <w:rPr>
            <w:noProof/>
            <w:webHidden/>
          </w:rPr>
          <w:tab/>
        </w:r>
        <w:r w:rsidR="00CF687B">
          <w:rPr>
            <w:noProof/>
            <w:webHidden/>
          </w:rPr>
          <w:fldChar w:fldCharType="begin"/>
        </w:r>
        <w:r w:rsidR="00CF687B">
          <w:rPr>
            <w:noProof/>
            <w:webHidden/>
          </w:rPr>
          <w:instrText xml:space="preserve"> PAGEREF _Toc363131940 \h </w:instrText>
        </w:r>
        <w:r w:rsidR="00CF687B">
          <w:rPr>
            <w:noProof/>
            <w:webHidden/>
          </w:rPr>
        </w:r>
        <w:r w:rsidR="00CF687B">
          <w:rPr>
            <w:noProof/>
            <w:webHidden/>
          </w:rPr>
          <w:fldChar w:fldCharType="separate"/>
        </w:r>
        <w:r w:rsidR="00CF687B">
          <w:rPr>
            <w:noProof/>
            <w:webHidden/>
          </w:rPr>
          <w:t>13</w:t>
        </w:r>
        <w:r w:rsidR="00CF687B">
          <w:rPr>
            <w:noProof/>
            <w:webHidden/>
          </w:rPr>
          <w:fldChar w:fldCharType="end"/>
        </w:r>
      </w:hyperlink>
    </w:p>
    <w:p w14:paraId="0129480B" w14:textId="77777777" w:rsidR="00AE0D1A" w:rsidRDefault="00AE0D1A" w:rsidP="00AE0D1A">
      <w:pPr>
        <w:tabs>
          <w:tab w:val="clear" w:pos="720"/>
          <w:tab w:val="right" w:leader="dot" w:pos="9270"/>
        </w:tabs>
      </w:pPr>
      <w:r>
        <w:fldChar w:fldCharType="end"/>
      </w:r>
    </w:p>
    <w:p w14:paraId="0129480C" w14:textId="77777777" w:rsidR="00AE0D1A" w:rsidRDefault="00AE0D1A" w:rsidP="00AE0D1A">
      <w:pPr>
        <w:tabs>
          <w:tab w:val="clear" w:pos="720"/>
        </w:tabs>
        <w:sectPr w:rsidR="00AE0D1A" w:rsidSect="00B301EA">
          <w:footerReference w:type="default" r:id="rId21"/>
          <w:pgSz w:w="12240" w:h="15840"/>
          <w:pgMar w:top="720" w:right="1152" w:bottom="792" w:left="1800" w:header="720" w:footer="720" w:gutter="0"/>
          <w:pgNumType w:fmt="lowerRoman" w:start="1"/>
          <w:cols w:space="720"/>
          <w:docGrid w:linePitch="272"/>
        </w:sectPr>
      </w:pPr>
    </w:p>
    <w:p w14:paraId="0129480D" w14:textId="77777777" w:rsidR="00AE0D1A" w:rsidRDefault="00AE0D1A" w:rsidP="00AE0D1A">
      <w:pPr>
        <w:pStyle w:val="Heading7"/>
      </w:pPr>
      <w:bookmarkStart w:id="1" w:name="_Ref363040343"/>
      <w:bookmarkStart w:id="2" w:name="_Toc363131903"/>
      <w:r>
        <w:lastRenderedPageBreak/>
        <w:t>E.</w:t>
      </w:r>
      <w:r>
        <w:tab/>
        <w:t>Executive Summary</w:t>
      </w:r>
      <w:bookmarkEnd w:id="1"/>
      <w:bookmarkEnd w:id="2"/>
      <w:r>
        <w:t xml:space="preserve"> </w:t>
      </w:r>
    </w:p>
    <w:p w14:paraId="0129480E" w14:textId="77777777" w:rsidR="00AE0D1A" w:rsidRDefault="00AE0D1A" w:rsidP="00AE0D1A">
      <w:r>
        <w:t>This research study sought to quantify the natural gas heating load</w:t>
      </w:r>
      <w:r w:rsidR="002878D4">
        <w:t>, equivalent full load hours</w:t>
      </w:r>
      <w:r>
        <w:t xml:space="preserve"> </w:t>
      </w:r>
      <w:r w:rsidR="002878D4">
        <w:t xml:space="preserve">(EFLH) </w:t>
      </w:r>
      <w:r>
        <w:t xml:space="preserve">and associated natural gas savings for high-efficiency residential gas furnaces in the Nicor Gas service territory. </w:t>
      </w:r>
    </w:p>
    <w:p w14:paraId="0129480F" w14:textId="77777777" w:rsidR="00B71E33" w:rsidRDefault="00B71E33" w:rsidP="00CF687B">
      <w:pPr>
        <w:pStyle w:val="Heading2"/>
        <w:numPr>
          <w:ilvl w:val="0"/>
          <w:numId w:val="0"/>
        </w:numPr>
        <w:ind w:left="810" w:hanging="720"/>
      </w:pPr>
      <w:bookmarkStart w:id="3" w:name="_Toc363131904"/>
      <w:r>
        <w:t>E.1</w:t>
      </w:r>
      <w:r>
        <w:tab/>
        <w:t>Research Methods</w:t>
      </w:r>
      <w:bookmarkEnd w:id="3"/>
      <w:r>
        <w:t xml:space="preserve"> </w:t>
      </w:r>
    </w:p>
    <w:p w14:paraId="01294810" w14:textId="77777777" w:rsidR="00AE0D1A" w:rsidRDefault="00AE0D1A" w:rsidP="00AE0D1A">
      <w:r>
        <w:t xml:space="preserve">Navigant </w:t>
      </w:r>
      <w:r w:rsidR="000D7D41">
        <w:t xml:space="preserve">analyzed </w:t>
      </w:r>
      <w:r>
        <w:t>participant billing data, metered field data, and a calibrated energy model to refine estimates of average heating loads for Nicor Gas Home Energy Efficient Rebate (HEER) program participants purchasing high-efficiency furnaces</w:t>
      </w:r>
      <w:r w:rsidR="00B301EA">
        <w:t xml:space="preserve">. </w:t>
      </w:r>
      <w:r w:rsidR="001F1F53">
        <w:t xml:space="preserve">The analysis team </w:t>
      </w:r>
      <w:r>
        <w:t>used a nested sampling approach in order to maximize precision while maintaining a manageable number of field sites</w:t>
      </w:r>
      <w:r w:rsidR="00B301EA">
        <w:t xml:space="preserve">. </w:t>
      </w:r>
      <w:r w:rsidR="002878D4">
        <w:t xml:space="preserve">The </w:t>
      </w:r>
      <w:r w:rsidR="00B71E33">
        <w:t xml:space="preserve">team disaggregated billing data to estimate gas heating loads for a </w:t>
      </w:r>
      <w:r w:rsidR="002878D4">
        <w:t xml:space="preserve">sample </w:t>
      </w:r>
      <w:r w:rsidR="00B71E33">
        <w:t xml:space="preserve">of </w:t>
      </w:r>
      <w:r w:rsidR="002878D4">
        <w:t>380 participants</w:t>
      </w:r>
      <w:r w:rsidR="00B301EA">
        <w:t xml:space="preserve">. </w:t>
      </w:r>
      <w:r w:rsidR="002878D4">
        <w:t>Navigant randomly selected 39 participants from this pool for the on-site sample</w:t>
      </w:r>
      <w:r w:rsidR="00B71E33">
        <w:t>, where data loggers were installed on the furnaces from November 2012 to May 2013</w:t>
      </w:r>
      <w:r w:rsidR="002878D4">
        <w:t>.</w:t>
      </w:r>
      <w:r w:rsidR="00B71E33">
        <w:t xml:space="preserve"> Navigant calculated the final results using the average ratio of metered results to billing data disaggregation results from the on-site sample. The team also used an energy simulation model to extrapolate the final results from the 2012 – 2013 heating season to a typical weather year</w:t>
      </w:r>
      <w:r w:rsidR="00B301EA">
        <w:t xml:space="preserve">. </w:t>
      </w:r>
    </w:p>
    <w:p w14:paraId="01294811" w14:textId="77777777" w:rsidR="00AE0D1A" w:rsidRDefault="00AE0D1A" w:rsidP="00AE0D1A">
      <w:pPr>
        <w:pStyle w:val="Heading8"/>
      </w:pPr>
      <w:bookmarkStart w:id="4" w:name="_Toc363131905"/>
      <w:r>
        <w:t>E.</w:t>
      </w:r>
      <w:r w:rsidR="00B71E33">
        <w:t>2</w:t>
      </w:r>
      <w:r>
        <w:tab/>
        <w:t>Research Results</w:t>
      </w:r>
      <w:bookmarkEnd w:id="4"/>
    </w:p>
    <w:p w14:paraId="01294812" w14:textId="77777777" w:rsidR="00AE0D1A" w:rsidRDefault="00AE0D1A" w:rsidP="00AE0D1A">
      <w:pPr>
        <w:rPr>
          <w:snapToGrid w:val="0"/>
        </w:rPr>
      </w:pPr>
      <w:r>
        <w:rPr>
          <w:snapToGrid w:val="0"/>
        </w:rPr>
        <w:t xml:space="preserve">This study found that the average </w:t>
      </w:r>
      <w:r w:rsidR="001F1F53">
        <w:rPr>
          <w:snapToGrid w:val="0"/>
        </w:rPr>
        <w:t>H</w:t>
      </w:r>
      <w:r>
        <w:rPr>
          <w:snapToGrid w:val="0"/>
        </w:rPr>
        <w:t xml:space="preserve">EER participant who purchased a new high-efficiency furnace </w:t>
      </w:r>
      <w:r w:rsidR="00746D89">
        <w:rPr>
          <w:snapToGrid w:val="0"/>
        </w:rPr>
        <w:t xml:space="preserve">had </w:t>
      </w:r>
      <w:r w:rsidR="00775BF6">
        <w:rPr>
          <w:snapToGrid w:val="0"/>
        </w:rPr>
        <w:t xml:space="preserve">an </w:t>
      </w:r>
      <w:r w:rsidR="00746D89">
        <w:rPr>
          <w:snapToGrid w:val="0"/>
        </w:rPr>
        <w:t xml:space="preserve">average heating load of </w:t>
      </w:r>
      <w:r w:rsidR="002878D4">
        <w:rPr>
          <w:snapToGrid w:val="0"/>
        </w:rPr>
        <w:t xml:space="preserve">834 </w:t>
      </w:r>
      <w:r w:rsidR="00746D89">
        <w:rPr>
          <w:snapToGrid w:val="0"/>
        </w:rPr>
        <w:t>therms annually</w:t>
      </w:r>
      <w:r>
        <w:rPr>
          <w:snapToGrid w:val="0"/>
        </w:rPr>
        <w:t xml:space="preserve">. </w:t>
      </w:r>
      <w:r w:rsidR="00746D89">
        <w:rPr>
          <w:snapToGrid w:val="0"/>
        </w:rPr>
        <w:t xml:space="preserve">Using </w:t>
      </w:r>
      <w:r w:rsidR="007E1B72">
        <w:rPr>
          <w:snapToGrid w:val="0"/>
        </w:rPr>
        <w:t xml:space="preserve">this heating load with </w:t>
      </w:r>
      <w:r w:rsidR="00746D89">
        <w:rPr>
          <w:snapToGrid w:val="0"/>
        </w:rPr>
        <w:t xml:space="preserve">the Illinois Technical Reference Manual </w:t>
      </w:r>
      <w:r w:rsidR="00EC0266">
        <w:rPr>
          <w:snapToGrid w:val="0"/>
        </w:rPr>
        <w:t xml:space="preserve">(TRM) </w:t>
      </w:r>
      <w:r w:rsidR="00746D89">
        <w:rPr>
          <w:snapToGrid w:val="0"/>
        </w:rPr>
        <w:t xml:space="preserve">baseline of 80% AFUE and </w:t>
      </w:r>
      <w:r w:rsidR="00020F92">
        <w:rPr>
          <w:snapToGrid w:val="0"/>
        </w:rPr>
        <w:t xml:space="preserve">average </w:t>
      </w:r>
      <w:r w:rsidR="00746D89">
        <w:rPr>
          <w:snapToGrid w:val="0"/>
        </w:rPr>
        <w:t>installed efficiency of 95</w:t>
      </w:r>
      <w:r w:rsidR="00020F92">
        <w:rPr>
          <w:snapToGrid w:val="0"/>
        </w:rPr>
        <w:t>.1</w:t>
      </w:r>
      <w:r w:rsidR="00746D89">
        <w:rPr>
          <w:snapToGrid w:val="0"/>
        </w:rPr>
        <w:t>%</w:t>
      </w:r>
      <w:r w:rsidR="007E1B72">
        <w:rPr>
          <w:snapToGrid w:val="0"/>
        </w:rPr>
        <w:t xml:space="preserve"> </w:t>
      </w:r>
      <w:r w:rsidR="00746D89">
        <w:rPr>
          <w:snapToGrid w:val="0"/>
        </w:rPr>
        <w:t>results in annual natural gas savings of 16</w:t>
      </w:r>
      <w:r w:rsidR="00E96A95">
        <w:rPr>
          <w:snapToGrid w:val="0"/>
        </w:rPr>
        <w:t>6</w:t>
      </w:r>
      <w:r w:rsidR="00746D89">
        <w:rPr>
          <w:snapToGrid w:val="0"/>
        </w:rPr>
        <w:t xml:space="preserve"> therms. </w:t>
      </w:r>
      <w:r w:rsidR="00EC0266">
        <w:rPr>
          <w:snapToGrid w:val="0"/>
        </w:rPr>
        <w:fldChar w:fldCharType="begin"/>
      </w:r>
      <w:r w:rsidR="00EC0266">
        <w:rPr>
          <w:snapToGrid w:val="0"/>
        </w:rPr>
        <w:instrText xml:space="preserve"> REF _Ref363079931 \h </w:instrText>
      </w:r>
      <w:r w:rsidR="00EC0266">
        <w:rPr>
          <w:snapToGrid w:val="0"/>
        </w:rPr>
      </w:r>
      <w:r w:rsidR="00EC0266">
        <w:rPr>
          <w:snapToGrid w:val="0"/>
        </w:rPr>
        <w:fldChar w:fldCharType="separate"/>
      </w:r>
      <w:r w:rsidR="00CF687B">
        <w:t>Table E</w:t>
      </w:r>
      <w:r w:rsidR="00CF687B">
        <w:noBreakHyphen/>
      </w:r>
      <w:r w:rsidR="00CF687B">
        <w:rPr>
          <w:noProof/>
        </w:rPr>
        <w:t>1</w:t>
      </w:r>
      <w:r w:rsidR="00EC0266">
        <w:rPr>
          <w:snapToGrid w:val="0"/>
        </w:rPr>
        <w:fldChar w:fldCharType="end"/>
      </w:r>
      <w:r w:rsidR="00EC0266">
        <w:rPr>
          <w:snapToGrid w:val="0"/>
        </w:rPr>
        <w:t xml:space="preserve"> compares these results to the Illinois TRM default values for the Chicago area.</w:t>
      </w:r>
    </w:p>
    <w:p w14:paraId="01294813" w14:textId="77777777" w:rsidR="00AE0D1A" w:rsidRDefault="00AE0D1A" w:rsidP="00AE0D1A">
      <w:pPr>
        <w:rPr>
          <w:snapToGrid w:val="0"/>
        </w:rPr>
      </w:pPr>
    </w:p>
    <w:p w14:paraId="01294814" w14:textId="77777777" w:rsidR="00AE0D1A" w:rsidRDefault="00AB30F2" w:rsidP="00AB30F2">
      <w:pPr>
        <w:pStyle w:val="Caption"/>
      </w:pPr>
      <w:bookmarkStart w:id="5" w:name="_Ref363079931"/>
      <w:bookmarkStart w:id="6" w:name="_Toc363131936"/>
      <w:r>
        <w:t>Table E</w:t>
      </w:r>
      <w:r w:rsidR="00375470">
        <w:noBreakHyphen/>
      </w:r>
      <w:fldSimple w:instr=" SEQ Table \* ARABIC \s 1 ">
        <w:r w:rsidR="00CF687B">
          <w:rPr>
            <w:noProof/>
          </w:rPr>
          <w:t>1</w:t>
        </w:r>
      </w:fldSimple>
      <w:bookmarkEnd w:id="5"/>
      <w:r>
        <w:t xml:space="preserve">. </w:t>
      </w:r>
      <w:r w:rsidR="00AE0D1A">
        <w:t>Final Furnace Study Results</w:t>
      </w:r>
      <w:bookmarkEnd w:id="6"/>
    </w:p>
    <w:tbl>
      <w:tblPr>
        <w:tblStyle w:val="EnergyPracticeTable"/>
        <w:tblW w:w="3237" w:type="pct"/>
        <w:jc w:val="center"/>
        <w:tblLook w:val="04A0" w:firstRow="1" w:lastRow="0" w:firstColumn="1" w:lastColumn="0" w:noHBand="0" w:noVBand="1"/>
      </w:tblPr>
      <w:tblGrid>
        <w:gridCol w:w="3419"/>
        <w:gridCol w:w="1367"/>
        <w:gridCol w:w="1367"/>
      </w:tblGrid>
      <w:tr w:rsidR="002878D4" w14:paraId="01294818" w14:textId="77777777" w:rsidTr="00E96A95">
        <w:trPr>
          <w:cnfStyle w:val="100000000000" w:firstRow="1" w:lastRow="0" w:firstColumn="0" w:lastColumn="0" w:oddVBand="0" w:evenVBand="0" w:oddHBand="0" w:evenHBand="0" w:firstRowFirstColumn="0" w:firstRowLastColumn="0" w:lastRowFirstColumn="0" w:lastRowLastColumn="0"/>
          <w:trHeight w:val="484"/>
          <w:jc w:val="center"/>
        </w:trPr>
        <w:tc>
          <w:tcPr>
            <w:cnfStyle w:val="001000000000" w:firstRow="0" w:lastRow="0" w:firstColumn="1" w:lastColumn="0" w:oddVBand="0" w:evenVBand="0" w:oddHBand="0" w:evenHBand="0" w:firstRowFirstColumn="0" w:firstRowLastColumn="0" w:lastRowFirstColumn="0" w:lastRowLastColumn="0"/>
            <w:tcW w:w="2778" w:type="pct"/>
            <w:vAlign w:val="center"/>
            <w:hideMark/>
          </w:tcPr>
          <w:p w14:paraId="01294815" w14:textId="77777777" w:rsidR="002878D4" w:rsidRDefault="002878D4" w:rsidP="00E96A95">
            <w:pPr>
              <w:rPr>
                <w:rFonts w:ascii="Times New Roman" w:hAnsi="Times New Roman"/>
                <w:szCs w:val="20"/>
              </w:rPr>
            </w:pPr>
            <w:r w:rsidRPr="00746D89">
              <w:rPr>
                <w:snapToGrid w:val="0"/>
                <w:color w:val="FFFFFF" w:themeColor="background1"/>
              </w:rPr>
              <w:t>Metric</w:t>
            </w:r>
          </w:p>
        </w:tc>
        <w:tc>
          <w:tcPr>
            <w:tcW w:w="1111" w:type="pct"/>
            <w:vAlign w:val="center"/>
            <w:hideMark/>
          </w:tcPr>
          <w:p w14:paraId="01294816" w14:textId="77777777" w:rsidR="002878D4" w:rsidRDefault="002878D4" w:rsidP="00E96A95">
            <w:pPr>
              <w:cnfStyle w:val="100000000000" w:firstRow="1" w:lastRow="0" w:firstColumn="0" w:lastColumn="0" w:oddVBand="0" w:evenVBand="0" w:oddHBand="0" w:evenHBand="0" w:firstRowFirstColumn="0" w:firstRowLastColumn="0" w:lastRowFirstColumn="0" w:lastRowLastColumn="0"/>
              <w:rPr>
                <w:b w:val="0"/>
                <w:snapToGrid w:val="0"/>
                <w:color w:val="FFFFFF" w:themeColor="background1"/>
              </w:rPr>
            </w:pPr>
            <w:r>
              <w:rPr>
                <w:snapToGrid w:val="0"/>
                <w:color w:val="FFFFFF" w:themeColor="background1"/>
              </w:rPr>
              <w:t>Research Result</w:t>
            </w:r>
          </w:p>
        </w:tc>
        <w:tc>
          <w:tcPr>
            <w:tcW w:w="1112" w:type="pct"/>
            <w:vAlign w:val="center"/>
          </w:tcPr>
          <w:p w14:paraId="01294817" w14:textId="77777777" w:rsidR="002878D4" w:rsidRDefault="002878D4" w:rsidP="00E96A95">
            <w:pPr>
              <w:cnfStyle w:val="100000000000" w:firstRow="1" w:lastRow="0" w:firstColumn="0" w:lastColumn="0" w:oddVBand="0" w:evenVBand="0" w:oddHBand="0" w:evenHBand="0" w:firstRowFirstColumn="0" w:firstRowLastColumn="0" w:lastRowFirstColumn="0" w:lastRowLastColumn="0"/>
              <w:rPr>
                <w:b w:val="0"/>
                <w:snapToGrid w:val="0"/>
                <w:color w:val="FFFFFF" w:themeColor="background1"/>
              </w:rPr>
            </w:pPr>
            <w:r>
              <w:rPr>
                <w:snapToGrid w:val="0"/>
                <w:color w:val="FFFFFF" w:themeColor="background1"/>
              </w:rPr>
              <w:t>Current TRM Value</w:t>
            </w:r>
            <w:r>
              <w:rPr>
                <w:rStyle w:val="FootnoteReference"/>
                <w:snapToGrid w:val="0"/>
                <w:color w:val="FFFFFF" w:themeColor="background1"/>
              </w:rPr>
              <w:footnoteReference w:id="1"/>
            </w:r>
          </w:p>
        </w:tc>
      </w:tr>
      <w:tr w:rsidR="002878D4" w14:paraId="0129481C" w14:textId="77777777" w:rsidTr="00E96A95">
        <w:trPr>
          <w:trHeight w:val="325"/>
          <w:jc w:val="center"/>
        </w:trPr>
        <w:tc>
          <w:tcPr>
            <w:cnfStyle w:val="001000000000" w:firstRow="0" w:lastRow="0" w:firstColumn="1" w:lastColumn="0" w:oddVBand="0" w:evenVBand="0" w:oddHBand="0" w:evenHBand="0" w:firstRowFirstColumn="0" w:firstRowLastColumn="0" w:lastRowFirstColumn="0" w:lastRowLastColumn="0"/>
            <w:tcW w:w="2778" w:type="pct"/>
            <w:noWrap/>
            <w:hideMark/>
          </w:tcPr>
          <w:p w14:paraId="01294819" w14:textId="77777777" w:rsidR="002878D4" w:rsidRDefault="002878D4">
            <w:pPr>
              <w:rPr>
                <w:snapToGrid w:val="0"/>
              </w:rPr>
            </w:pPr>
            <w:r>
              <w:rPr>
                <w:snapToGrid w:val="0"/>
              </w:rPr>
              <w:t>Average Heating Load</w:t>
            </w:r>
            <w:r w:rsidR="00B71E33">
              <w:rPr>
                <w:snapToGrid w:val="0"/>
              </w:rPr>
              <w:t xml:space="preserve"> (therms)</w:t>
            </w:r>
          </w:p>
        </w:tc>
        <w:tc>
          <w:tcPr>
            <w:tcW w:w="1111" w:type="pct"/>
            <w:hideMark/>
          </w:tcPr>
          <w:p w14:paraId="0129481A" w14:textId="77777777" w:rsidR="002878D4" w:rsidRPr="00CF687B" w:rsidRDefault="002878D4" w:rsidP="00CF687B">
            <w:pPr>
              <w:tabs>
                <w:tab w:val="clear" w:pos="720"/>
              </w:tabs>
              <w:cnfStyle w:val="000000000000" w:firstRow="0" w:lastRow="0" w:firstColumn="0" w:lastColumn="0" w:oddVBand="0" w:evenVBand="0" w:oddHBand="0" w:evenHBand="0" w:firstRowFirstColumn="0" w:firstRowLastColumn="0" w:lastRowFirstColumn="0" w:lastRowLastColumn="0"/>
              <w:rPr>
                <w:szCs w:val="20"/>
              </w:rPr>
            </w:pPr>
            <w:r w:rsidRPr="00CF687B">
              <w:rPr>
                <w:szCs w:val="20"/>
              </w:rPr>
              <w:t>834</w:t>
            </w:r>
          </w:p>
        </w:tc>
        <w:tc>
          <w:tcPr>
            <w:tcW w:w="1112" w:type="pct"/>
          </w:tcPr>
          <w:p w14:paraId="0129481B" w14:textId="77777777" w:rsidR="002878D4" w:rsidRPr="00CF687B" w:rsidRDefault="002878D4" w:rsidP="00CF687B">
            <w:pPr>
              <w:tabs>
                <w:tab w:val="clear" w:pos="720"/>
              </w:tabs>
              <w:cnfStyle w:val="000000000000" w:firstRow="0" w:lastRow="0" w:firstColumn="0" w:lastColumn="0" w:oddVBand="0" w:evenVBand="0" w:oddHBand="0" w:evenHBand="0" w:firstRowFirstColumn="0" w:firstRowLastColumn="0" w:lastRowFirstColumn="0" w:lastRowLastColumn="0"/>
              <w:rPr>
                <w:szCs w:val="20"/>
              </w:rPr>
            </w:pPr>
            <w:r w:rsidRPr="00CF687B">
              <w:rPr>
                <w:szCs w:val="20"/>
              </w:rPr>
              <w:t>806</w:t>
            </w:r>
          </w:p>
        </w:tc>
      </w:tr>
      <w:tr w:rsidR="002878D4" w14:paraId="01294820" w14:textId="77777777" w:rsidTr="00E96A95">
        <w:trPr>
          <w:trHeight w:val="325"/>
          <w:jc w:val="center"/>
        </w:trPr>
        <w:tc>
          <w:tcPr>
            <w:cnfStyle w:val="001000000000" w:firstRow="0" w:lastRow="0" w:firstColumn="1" w:lastColumn="0" w:oddVBand="0" w:evenVBand="0" w:oddHBand="0" w:evenHBand="0" w:firstRowFirstColumn="0" w:firstRowLastColumn="0" w:lastRowFirstColumn="0" w:lastRowLastColumn="0"/>
            <w:tcW w:w="2778" w:type="pct"/>
            <w:noWrap/>
          </w:tcPr>
          <w:p w14:paraId="0129481D" w14:textId="77777777" w:rsidR="002878D4" w:rsidRDefault="002878D4">
            <w:pPr>
              <w:rPr>
                <w:snapToGrid w:val="0"/>
              </w:rPr>
            </w:pPr>
            <w:r>
              <w:rPr>
                <w:snapToGrid w:val="0"/>
              </w:rPr>
              <w:t>Average EFLH</w:t>
            </w:r>
            <w:r w:rsidR="00B71E33">
              <w:rPr>
                <w:snapToGrid w:val="0"/>
              </w:rPr>
              <w:t xml:space="preserve"> (hours)</w:t>
            </w:r>
          </w:p>
        </w:tc>
        <w:tc>
          <w:tcPr>
            <w:tcW w:w="1111" w:type="pct"/>
          </w:tcPr>
          <w:p w14:paraId="0129481E" w14:textId="77777777" w:rsidR="002878D4" w:rsidRPr="00CF687B" w:rsidDel="002878D4" w:rsidRDefault="002878D4" w:rsidP="00CF687B">
            <w:pPr>
              <w:tabs>
                <w:tab w:val="clear" w:pos="720"/>
              </w:tabs>
              <w:cnfStyle w:val="000000000000" w:firstRow="0" w:lastRow="0" w:firstColumn="0" w:lastColumn="0" w:oddVBand="0" w:evenVBand="0" w:oddHBand="0" w:evenHBand="0" w:firstRowFirstColumn="0" w:firstRowLastColumn="0" w:lastRowFirstColumn="0" w:lastRowLastColumn="0"/>
              <w:rPr>
                <w:szCs w:val="20"/>
              </w:rPr>
            </w:pPr>
            <w:r w:rsidRPr="00CF687B">
              <w:rPr>
                <w:szCs w:val="20"/>
              </w:rPr>
              <w:t>976</w:t>
            </w:r>
          </w:p>
        </w:tc>
        <w:tc>
          <w:tcPr>
            <w:tcW w:w="1112" w:type="pct"/>
          </w:tcPr>
          <w:p w14:paraId="0129481F" w14:textId="77777777" w:rsidR="002878D4" w:rsidRPr="00CF687B" w:rsidRDefault="002878D4" w:rsidP="00CF687B">
            <w:pPr>
              <w:tabs>
                <w:tab w:val="clear" w:pos="720"/>
              </w:tabs>
              <w:cnfStyle w:val="000000000000" w:firstRow="0" w:lastRow="0" w:firstColumn="0" w:lastColumn="0" w:oddVBand="0" w:evenVBand="0" w:oddHBand="0" w:evenHBand="0" w:firstRowFirstColumn="0" w:firstRowLastColumn="0" w:lastRowFirstColumn="0" w:lastRowLastColumn="0"/>
              <w:rPr>
                <w:szCs w:val="20"/>
              </w:rPr>
            </w:pPr>
            <w:r w:rsidRPr="00CF687B">
              <w:rPr>
                <w:szCs w:val="20"/>
              </w:rPr>
              <w:t>n/a</w:t>
            </w:r>
          </w:p>
        </w:tc>
      </w:tr>
      <w:tr w:rsidR="002878D4" w14:paraId="01294824" w14:textId="77777777" w:rsidTr="00E96A95">
        <w:trPr>
          <w:trHeight w:val="325"/>
          <w:jc w:val="center"/>
        </w:trPr>
        <w:tc>
          <w:tcPr>
            <w:cnfStyle w:val="001000000000" w:firstRow="0" w:lastRow="0" w:firstColumn="1" w:lastColumn="0" w:oddVBand="0" w:evenVBand="0" w:oddHBand="0" w:evenHBand="0" w:firstRowFirstColumn="0" w:firstRowLastColumn="0" w:lastRowFirstColumn="0" w:lastRowLastColumn="0"/>
            <w:tcW w:w="2778" w:type="pct"/>
            <w:noWrap/>
            <w:hideMark/>
          </w:tcPr>
          <w:p w14:paraId="01294821" w14:textId="77777777" w:rsidR="002878D4" w:rsidRDefault="002878D4">
            <w:pPr>
              <w:rPr>
                <w:snapToGrid w:val="0"/>
              </w:rPr>
            </w:pPr>
            <w:r>
              <w:rPr>
                <w:snapToGrid w:val="0"/>
              </w:rPr>
              <w:t>Average Savings</w:t>
            </w:r>
            <w:r w:rsidR="00B71E33">
              <w:rPr>
                <w:snapToGrid w:val="0"/>
              </w:rPr>
              <w:t xml:space="preserve"> (therms)</w:t>
            </w:r>
            <w:r>
              <w:rPr>
                <w:rStyle w:val="FootnoteReference"/>
                <w:snapToGrid w:val="0"/>
              </w:rPr>
              <w:footnoteReference w:id="2"/>
            </w:r>
          </w:p>
        </w:tc>
        <w:tc>
          <w:tcPr>
            <w:tcW w:w="1111" w:type="pct"/>
            <w:hideMark/>
          </w:tcPr>
          <w:p w14:paraId="01294822" w14:textId="77777777" w:rsidR="002878D4" w:rsidRPr="00CF687B" w:rsidRDefault="002878D4" w:rsidP="00CF687B">
            <w:pPr>
              <w:tabs>
                <w:tab w:val="clear" w:pos="720"/>
              </w:tabs>
              <w:cnfStyle w:val="000000000000" w:firstRow="0" w:lastRow="0" w:firstColumn="0" w:lastColumn="0" w:oddVBand="0" w:evenVBand="0" w:oddHBand="0" w:evenHBand="0" w:firstRowFirstColumn="0" w:firstRowLastColumn="0" w:lastRowFirstColumn="0" w:lastRowLastColumn="0"/>
              <w:rPr>
                <w:szCs w:val="20"/>
              </w:rPr>
            </w:pPr>
            <w:r w:rsidRPr="00CF687B">
              <w:rPr>
                <w:szCs w:val="20"/>
              </w:rPr>
              <w:t>166</w:t>
            </w:r>
          </w:p>
        </w:tc>
        <w:tc>
          <w:tcPr>
            <w:tcW w:w="1112" w:type="pct"/>
          </w:tcPr>
          <w:p w14:paraId="01294823" w14:textId="77777777" w:rsidR="002878D4" w:rsidRPr="00CF687B" w:rsidRDefault="00B71E33" w:rsidP="00CF687B">
            <w:pPr>
              <w:tabs>
                <w:tab w:val="clear" w:pos="720"/>
              </w:tabs>
              <w:cnfStyle w:val="000000000000" w:firstRow="0" w:lastRow="0" w:firstColumn="0" w:lastColumn="0" w:oddVBand="0" w:evenVBand="0" w:oddHBand="0" w:evenHBand="0" w:firstRowFirstColumn="0" w:firstRowLastColumn="0" w:lastRowFirstColumn="0" w:lastRowLastColumn="0"/>
              <w:rPr>
                <w:szCs w:val="20"/>
              </w:rPr>
            </w:pPr>
            <w:r w:rsidRPr="00CF687B">
              <w:rPr>
                <w:szCs w:val="20"/>
              </w:rPr>
              <w:t>160</w:t>
            </w:r>
          </w:p>
        </w:tc>
      </w:tr>
    </w:tbl>
    <w:p w14:paraId="01294825" w14:textId="77777777" w:rsidR="00AE0D1A" w:rsidRDefault="00B71E33" w:rsidP="00CF687B">
      <w:pPr>
        <w:pStyle w:val="Heading2"/>
        <w:numPr>
          <w:ilvl w:val="0"/>
          <w:numId w:val="0"/>
        </w:numPr>
        <w:ind w:left="810" w:hanging="720"/>
      </w:pPr>
      <w:bookmarkStart w:id="7" w:name="_Toc363131906"/>
      <w:r>
        <w:t>E.3</w:t>
      </w:r>
      <w:r>
        <w:tab/>
        <w:t>Findings and Recommendations</w:t>
      </w:r>
      <w:bookmarkEnd w:id="7"/>
      <w:r>
        <w:t xml:space="preserve"> </w:t>
      </w:r>
    </w:p>
    <w:p w14:paraId="01294826" w14:textId="77777777" w:rsidR="00B71E33" w:rsidRDefault="00B71E33" w:rsidP="00B71E33">
      <w:r>
        <w:t xml:space="preserve">Navigant offers the following findings and recommendations to Nicor Gas from this study: </w:t>
      </w:r>
    </w:p>
    <w:p w14:paraId="01294827" w14:textId="77777777" w:rsidR="00B71E33" w:rsidRDefault="00B71E33" w:rsidP="00B71E33"/>
    <w:p w14:paraId="01294828" w14:textId="77777777" w:rsidR="00B71E33" w:rsidRDefault="00B71E33" w:rsidP="00B71E33">
      <w:r>
        <w:rPr>
          <w:b/>
        </w:rPr>
        <w:t xml:space="preserve">Finding. </w:t>
      </w:r>
      <w:r>
        <w:t xml:space="preserve">The primary finding from this research is that the metered data showed higher gas heating loads for Nicor Gas HEER participants than previous work estimated. The heating loads and associated savings from this study exceed both the Rider 29 evaluation estimates and the current values in the Illinois TRM for the Chicago area. </w:t>
      </w:r>
    </w:p>
    <w:p w14:paraId="01294829" w14:textId="77777777" w:rsidR="00B71E33" w:rsidRDefault="00B71E33" w:rsidP="00B71E33">
      <w:r>
        <w:lastRenderedPageBreak/>
        <w:tab/>
      </w:r>
      <w:r>
        <w:rPr>
          <w:b/>
        </w:rPr>
        <w:t xml:space="preserve">Recommendation. </w:t>
      </w:r>
      <w:r>
        <w:t xml:space="preserve">Navigant recommends that Nicor Gas adopt the use of this territory-specific heating load estimate in determining deemed savings estimates for high efficiency furnaces moving forward. </w:t>
      </w:r>
    </w:p>
    <w:p w14:paraId="0129482A" w14:textId="77777777" w:rsidR="00B71E33" w:rsidRDefault="00B71E33" w:rsidP="00B71E33">
      <w:r>
        <w:tab/>
      </w:r>
      <w:r w:rsidRPr="001D293B">
        <w:rPr>
          <w:b/>
        </w:rPr>
        <w:t>Recommendation.</w:t>
      </w:r>
      <w:r>
        <w:t xml:space="preserve"> Navigant recommends that future versions of the Illinois TRM incorporate the results of this research. </w:t>
      </w:r>
    </w:p>
    <w:p w14:paraId="0129482B" w14:textId="77777777" w:rsidR="00B71E33" w:rsidRDefault="00B71E33" w:rsidP="00B71E33"/>
    <w:p w14:paraId="0129482C" w14:textId="77777777" w:rsidR="00B71E33" w:rsidRDefault="00B71E33" w:rsidP="00B71E33">
      <w:r>
        <w:rPr>
          <w:b/>
        </w:rPr>
        <w:t xml:space="preserve">Finding. </w:t>
      </w:r>
      <w:r>
        <w:t xml:space="preserve">Navigant observed that three of the 39 on-site participants had purchased two new furnaces through the program. Several other on-site homes also had second furnaces of varying ages and levels of use. Since Navigant sampled at the furnace level and not the home level, these two-furnace homes generally had lower ratios of metered to billed consumption (one furnace metered, but billing data reflects both furnaces). </w:t>
      </w:r>
    </w:p>
    <w:p w14:paraId="0129482D" w14:textId="77777777" w:rsidR="00B71E33" w:rsidRDefault="00B71E33" w:rsidP="00B71E33">
      <w:r>
        <w:rPr>
          <w:b/>
        </w:rPr>
        <w:tab/>
        <w:t xml:space="preserve">Recommendation. </w:t>
      </w:r>
      <w:r>
        <w:t xml:space="preserve">Nicor Gas may want to consider adding a checkbox for “more than one furnace” or a field for “number of furnaces” to collect additional data on how many furnaces participant homes typically have. </w:t>
      </w:r>
    </w:p>
    <w:p w14:paraId="0129482E" w14:textId="77777777" w:rsidR="00AE0D1A" w:rsidRDefault="00AE0D1A" w:rsidP="00AE0D1A">
      <w:pPr>
        <w:tabs>
          <w:tab w:val="clear" w:pos="720"/>
        </w:tabs>
      </w:pPr>
    </w:p>
    <w:p w14:paraId="0129482F" w14:textId="77777777" w:rsidR="00CF687B" w:rsidRDefault="00CF687B" w:rsidP="00CF687B">
      <w:r>
        <w:rPr>
          <w:b/>
        </w:rPr>
        <w:t xml:space="preserve">Finding. </w:t>
      </w:r>
      <w:r>
        <w:t xml:space="preserve">The </w:t>
      </w:r>
      <w:r w:rsidR="00DF226B">
        <w:t>good</w:t>
      </w:r>
      <w:r>
        <w:t xml:space="preserve"> relative precision for the study overall and in particular for the ratio of metered to billed consumption estimates show that the billing data disaggregation analysis provided a strong indicator of actual heating consumption. This means that for this type of research, the double ratio nested sampling approach can be an efficient means of providing statistically significant results with relatively small on-site samples. </w:t>
      </w:r>
    </w:p>
    <w:p w14:paraId="01294830" w14:textId="77777777" w:rsidR="00CF687B" w:rsidRPr="00A1465C" w:rsidRDefault="00CF687B" w:rsidP="00CF687B">
      <w:r>
        <w:rPr>
          <w:b/>
        </w:rPr>
        <w:tab/>
        <w:t xml:space="preserve">Recommendation. </w:t>
      </w:r>
      <w:r>
        <w:t xml:space="preserve">Navigant recommends considering using a similar statistical approach for future field research where appropriate. </w:t>
      </w:r>
    </w:p>
    <w:p w14:paraId="01294831" w14:textId="77777777" w:rsidR="00CF687B" w:rsidRDefault="00CF687B" w:rsidP="00AE0D1A">
      <w:pPr>
        <w:tabs>
          <w:tab w:val="clear" w:pos="720"/>
        </w:tabs>
        <w:sectPr w:rsidR="00CF687B">
          <w:pgSz w:w="12240" w:h="15840"/>
          <w:pgMar w:top="720" w:right="1152" w:bottom="792" w:left="1800" w:header="720" w:footer="720" w:gutter="0"/>
          <w:pgNumType w:start="1"/>
          <w:cols w:space="720"/>
        </w:sectPr>
      </w:pPr>
    </w:p>
    <w:p w14:paraId="01294832" w14:textId="77777777" w:rsidR="00AE0D1A" w:rsidRPr="0079312D" w:rsidRDefault="00AE0D1A" w:rsidP="0079312D">
      <w:pPr>
        <w:pStyle w:val="Heading1"/>
      </w:pPr>
      <w:bookmarkStart w:id="8" w:name="_Toc363131907"/>
      <w:r w:rsidRPr="0079312D">
        <w:lastRenderedPageBreak/>
        <w:t>Study Objectives and Methods</w:t>
      </w:r>
      <w:bookmarkEnd w:id="8"/>
    </w:p>
    <w:p w14:paraId="01294833" w14:textId="77777777" w:rsidR="00AE0D1A" w:rsidRDefault="00AE0D1A" w:rsidP="00AE0D1A">
      <w:r>
        <w:t xml:space="preserve">This study focused on several aspects of the gas consumption of high-efficiency natural gas furnaces. The primary goal of the study </w:t>
      </w:r>
      <w:r w:rsidR="00DF226B">
        <w:t>i</w:t>
      </w:r>
      <w:r>
        <w:t xml:space="preserve">s to provide refined heating load estimates for residential gas furnaces in the Nicor Gas service territory which may inform future versions of the Illinois Technical Reference Manual (TRM). High-efficiency furnaces are the single largest measure in Nicor Gas’ residential portfolio, </w:t>
      </w:r>
      <w:r w:rsidR="00BE4592">
        <w:t xml:space="preserve">which warrants </w:t>
      </w:r>
      <w:r>
        <w:t xml:space="preserve">a rigorous analysis of their energy savings. </w:t>
      </w:r>
    </w:p>
    <w:p w14:paraId="01294834" w14:textId="77777777" w:rsidR="00AE0D1A" w:rsidRDefault="00AE0D1A" w:rsidP="00AE0D1A"/>
    <w:p w14:paraId="01294835" w14:textId="77777777" w:rsidR="00AE0D1A" w:rsidRDefault="00AE0D1A" w:rsidP="00AE0D1A">
      <w:r>
        <w:t xml:space="preserve">Navigant sought to provide </w:t>
      </w:r>
      <w:r w:rsidR="001D2A47">
        <w:t xml:space="preserve">three </w:t>
      </w:r>
      <w:r>
        <w:t>results: revised natural gas heating load</w:t>
      </w:r>
      <w:r w:rsidR="00AB30F2">
        <w:t xml:space="preserve"> </w:t>
      </w:r>
      <w:r>
        <w:t>and natural gas savings</w:t>
      </w:r>
      <w:r w:rsidR="00AB30F2">
        <w:t xml:space="preserve"> for homes with high-efficiency natural gas furnaces</w:t>
      </w:r>
      <w:r w:rsidR="001D2A47">
        <w:t>, as well as an estimate of equivalent full load hours (EFLH)</w:t>
      </w:r>
      <w:r>
        <w:t xml:space="preserve">. </w:t>
      </w:r>
    </w:p>
    <w:p w14:paraId="01294836" w14:textId="77777777" w:rsidR="00AE0D1A" w:rsidRPr="0079312D" w:rsidRDefault="00AE0D1A" w:rsidP="0079312D">
      <w:pPr>
        <w:pStyle w:val="Heading2"/>
      </w:pPr>
      <w:bookmarkStart w:id="9" w:name="_Toc363131908"/>
      <w:r w:rsidRPr="0079312D">
        <w:t>Research Methodology</w:t>
      </w:r>
      <w:bookmarkEnd w:id="9"/>
    </w:p>
    <w:p w14:paraId="01294837" w14:textId="77777777" w:rsidR="00D75EFA" w:rsidRDefault="00AE0D1A" w:rsidP="00AE0D1A">
      <w:r>
        <w:t xml:space="preserve">Navigant used a nested sampling approach to maximize the statistical precision of the results. </w:t>
      </w:r>
      <w:r w:rsidR="00775BF6">
        <w:t xml:space="preserve">The team </w:t>
      </w:r>
      <w:r>
        <w:t>disaggregated billing data to calculate preliminary estimates of gas heating load, EFLH and associated savings for a sample of 380 homes.</w:t>
      </w:r>
      <w:r>
        <w:rPr>
          <w:rStyle w:val="FootnoteReference"/>
        </w:rPr>
        <w:footnoteReference w:id="3"/>
      </w:r>
      <w:r>
        <w:t xml:space="preserve"> From this larger sample, </w:t>
      </w:r>
      <w:r w:rsidR="00775BF6">
        <w:t xml:space="preserve">Navigant </w:t>
      </w:r>
      <w:r>
        <w:t xml:space="preserve">randomly selected 39 homes for on-site metering. In the final results, Navigant </w:t>
      </w:r>
      <w:r w:rsidR="0087780C">
        <w:t xml:space="preserve">used double ratio estimation to </w:t>
      </w:r>
      <w:r>
        <w:t>leverage the ratio of metered gas heating consumption to disaggregation-estimated gas heating consumption for these sites to estimate average gas heating consumption for the entire billing data disaggregation sample.</w:t>
      </w:r>
      <w:r w:rsidR="0087780C">
        <w:rPr>
          <w:rStyle w:val="FootnoteReference"/>
        </w:rPr>
        <w:footnoteReference w:id="4"/>
      </w:r>
      <w:r>
        <w:t xml:space="preserve"> </w:t>
      </w:r>
    </w:p>
    <w:p w14:paraId="01294838" w14:textId="77777777" w:rsidR="00AE0D1A" w:rsidRPr="0079312D" w:rsidRDefault="00AE0D1A" w:rsidP="0079312D">
      <w:pPr>
        <w:pStyle w:val="Heading3"/>
      </w:pPr>
      <w:bookmarkStart w:id="10" w:name="_Toc363131909"/>
      <w:r w:rsidRPr="0079312D">
        <w:t>Sample Selection</w:t>
      </w:r>
      <w:bookmarkEnd w:id="10"/>
    </w:p>
    <w:p w14:paraId="01294839" w14:textId="77777777" w:rsidR="00AE0D1A" w:rsidRDefault="00AE0D1A" w:rsidP="00AE0D1A">
      <w:r>
        <w:t xml:space="preserve">Navigant selected the sample by starting with billing data of all homes that installed furnaces of 95% AFUE or higher through the Nicor Gas HEER program during Rider 29. The analysis team filtered the database by removing datasets that were duplicates, contained negative billing data, or showed a change of home ownership from 2009 to 2012. This filtered database was then manipulated to reflect the actual gas consumption per month (“monthly consumption data”) rather than the billed therms per month (“monthly billed data”) based on the billing cycle date. </w:t>
      </w:r>
      <w:r w:rsidR="00D728EF">
        <w:t>The evaluation team</w:t>
      </w:r>
      <w:r>
        <w:t xml:space="preserve"> visually analyzed the remaining datasets to ensure an accurate reflection of gas consumption per month (e.g. datasets were removed if they had very erratic load shapes). After Navigant applied these filtering techniques to the original database, </w:t>
      </w:r>
      <w:r w:rsidR="001F64E0">
        <w:t>the team randomly selected</w:t>
      </w:r>
      <w:r w:rsidR="00E96A95">
        <w:t xml:space="preserve"> </w:t>
      </w:r>
      <w:r w:rsidR="001D2A47">
        <w:t xml:space="preserve">380 </w:t>
      </w:r>
      <w:r>
        <w:t xml:space="preserve">monthly consumption datasets to perform </w:t>
      </w:r>
      <w:r w:rsidR="00BE4592">
        <w:t xml:space="preserve">the </w:t>
      </w:r>
      <w:r>
        <w:t>analysis. Navigant used this sample to recruit on-site participants, ensuring that all on-site participants would also be in the billing data analysis.</w:t>
      </w:r>
      <w:r w:rsidR="001D2A47">
        <w:t xml:space="preserve"> </w:t>
      </w:r>
    </w:p>
    <w:p w14:paraId="0129483A" w14:textId="77777777" w:rsidR="00BF07D1" w:rsidRDefault="00BF07D1" w:rsidP="00CF687B">
      <w:pPr>
        <w:pStyle w:val="Caption"/>
      </w:pPr>
      <w:bookmarkStart w:id="11" w:name="_Toc363131937"/>
      <w:r>
        <w:lastRenderedPageBreak/>
        <w:t xml:space="preserve">Table </w:t>
      </w:r>
      <w:fldSimple w:instr=" STYLEREF 1 \s ">
        <w:r w:rsidR="00CF687B">
          <w:rPr>
            <w:noProof/>
          </w:rPr>
          <w:t>1</w:t>
        </w:r>
      </w:fldSimple>
      <w:r w:rsidR="00375470">
        <w:noBreakHyphen/>
      </w:r>
      <w:fldSimple w:instr=" SEQ Table \* ARABIC \s 1 ">
        <w:r w:rsidR="00CF687B">
          <w:rPr>
            <w:noProof/>
          </w:rPr>
          <w:t>1</w:t>
        </w:r>
      </w:fldSimple>
      <w:r>
        <w:t xml:space="preserve">: Sample Selection </w:t>
      </w:r>
      <w:r w:rsidR="00DC7273">
        <w:t>Process</w:t>
      </w:r>
      <w:bookmarkEnd w:id="11"/>
    </w:p>
    <w:tbl>
      <w:tblPr>
        <w:tblStyle w:val="EnergyTable"/>
        <w:tblW w:w="0" w:type="auto"/>
        <w:jc w:val="center"/>
        <w:tblLook w:val="04A0" w:firstRow="1" w:lastRow="0" w:firstColumn="1" w:lastColumn="0" w:noHBand="0" w:noVBand="1"/>
      </w:tblPr>
      <w:tblGrid>
        <w:gridCol w:w="3540"/>
        <w:gridCol w:w="963"/>
      </w:tblGrid>
      <w:tr w:rsidR="003D1AAE" w14:paraId="0129483D" w14:textId="77777777" w:rsidTr="00CF687B">
        <w:trPr>
          <w:cnfStyle w:val="100000000000" w:firstRow="1" w:lastRow="0" w:firstColumn="0" w:lastColumn="0" w:oddVBand="0" w:evenVBand="0" w:oddHBand="0" w:evenHBand="0" w:firstRowFirstColumn="0" w:firstRowLastColumn="0" w:lastRowFirstColumn="0" w:lastRowLastColumn="0"/>
          <w:trHeight w:val="540"/>
          <w:jc w:val="center"/>
        </w:trPr>
        <w:tc>
          <w:tcPr>
            <w:cnfStyle w:val="001000000000" w:firstRow="0" w:lastRow="0" w:firstColumn="1" w:lastColumn="0" w:oddVBand="0" w:evenVBand="0" w:oddHBand="0" w:evenHBand="0" w:firstRowFirstColumn="0" w:firstRowLastColumn="0" w:lastRowFirstColumn="0" w:lastRowLastColumn="0"/>
            <w:tcW w:w="3540" w:type="dxa"/>
            <w:vAlign w:val="center"/>
          </w:tcPr>
          <w:p w14:paraId="0129483B" w14:textId="77777777" w:rsidR="003D1AAE" w:rsidRDefault="00BF07D1" w:rsidP="00CF687B">
            <w:pPr>
              <w:keepNext/>
              <w:keepLines/>
              <w:jc w:val="center"/>
              <w:rPr>
                <w:b w:val="0"/>
                <w:color w:val="auto"/>
              </w:rPr>
            </w:pPr>
            <w:r>
              <w:t>Analysis Stage</w:t>
            </w:r>
          </w:p>
        </w:tc>
        <w:tc>
          <w:tcPr>
            <w:tcW w:w="963" w:type="dxa"/>
            <w:vAlign w:val="center"/>
          </w:tcPr>
          <w:p w14:paraId="0129483C" w14:textId="77777777" w:rsidR="003D1AAE" w:rsidRDefault="003D1AAE" w:rsidP="00CF687B">
            <w:pPr>
              <w:keepNext/>
              <w:keepLines/>
              <w:jc w:val="center"/>
              <w:cnfStyle w:val="100000000000" w:firstRow="1" w:lastRow="0" w:firstColumn="0" w:lastColumn="0" w:oddVBand="0" w:evenVBand="0" w:oddHBand="0" w:evenHBand="0" w:firstRowFirstColumn="0" w:firstRowLastColumn="0" w:lastRowFirstColumn="0" w:lastRowLastColumn="0"/>
              <w:rPr>
                <w:b w:val="0"/>
                <w:color w:val="auto"/>
              </w:rPr>
            </w:pPr>
            <w:r>
              <w:t>N</w:t>
            </w:r>
          </w:p>
        </w:tc>
      </w:tr>
      <w:tr w:rsidR="003D1AAE" w14:paraId="01294840" w14:textId="77777777" w:rsidTr="00CF687B">
        <w:trPr>
          <w:trHeight w:val="540"/>
          <w:jc w:val="center"/>
        </w:trPr>
        <w:tc>
          <w:tcPr>
            <w:cnfStyle w:val="001000000000" w:firstRow="0" w:lastRow="0" w:firstColumn="1" w:lastColumn="0" w:oddVBand="0" w:evenVBand="0" w:oddHBand="0" w:evenHBand="0" w:firstRowFirstColumn="0" w:firstRowLastColumn="0" w:lastRowFirstColumn="0" w:lastRowLastColumn="0"/>
            <w:tcW w:w="3540" w:type="dxa"/>
            <w:vAlign w:val="center"/>
          </w:tcPr>
          <w:p w14:paraId="0129483E" w14:textId="77777777" w:rsidR="003D1AAE" w:rsidRDefault="003D1AAE" w:rsidP="00CF687B">
            <w:pPr>
              <w:keepNext/>
              <w:keepLines/>
            </w:pPr>
            <w:r>
              <w:t>Nicor Gas Rider 29 ≥95% AFUE Furnace Participants</w:t>
            </w:r>
          </w:p>
        </w:tc>
        <w:tc>
          <w:tcPr>
            <w:tcW w:w="963" w:type="dxa"/>
            <w:vAlign w:val="center"/>
          </w:tcPr>
          <w:p w14:paraId="0129483F" w14:textId="77777777" w:rsidR="003D1AAE" w:rsidRDefault="003D1AAE" w:rsidP="00CF687B">
            <w:pPr>
              <w:keepNext/>
              <w:keepLines/>
              <w:jc w:val="center"/>
              <w:cnfStyle w:val="000000000000" w:firstRow="0" w:lastRow="0" w:firstColumn="0" w:lastColumn="0" w:oddVBand="0" w:evenVBand="0" w:oddHBand="0" w:evenHBand="0" w:firstRowFirstColumn="0" w:firstRowLastColumn="0" w:lastRowFirstColumn="0" w:lastRowLastColumn="0"/>
            </w:pPr>
            <w:r>
              <w:t>19,052</w:t>
            </w:r>
          </w:p>
        </w:tc>
      </w:tr>
      <w:tr w:rsidR="003D1AAE" w14:paraId="01294843" w14:textId="77777777" w:rsidTr="00CF687B">
        <w:trPr>
          <w:cnfStyle w:val="000000010000" w:firstRow="0" w:lastRow="0" w:firstColumn="0" w:lastColumn="0" w:oddVBand="0" w:evenVBand="0" w:oddHBand="0" w:evenHBand="1" w:firstRowFirstColumn="0" w:firstRowLastColumn="0" w:lastRowFirstColumn="0" w:lastRowLastColumn="0"/>
          <w:trHeight w:val="540"/>
          <w:jc w:val="center"/>
        </w:trPr>
        <w:tc>
          <w:tcPr>
            <w:cnfStyle w:val="001000000000" w:firstRow="0" w:lastRow="0" w:firstColumn="1" w:lastColumn="0" w:oddVBand="0" w:evenVBand="0" w:oddHBand="0" w:evenHBand="0" w:firstRowFirstColumn="0" w:firstRowLastColumn="0" w:lastRowFirstColumn="0" w:lastRowLastColumn="0"/>
            <w:tcW w:w="3540" w:type="dxa"/>
            <w:vAlign w:val="center"/>
          </w:tcPr>
          <w:p w14:paraId="01294841" w14:textId="77777777" w:rsidR="003D1AAE" w:rsidRDefault="003D1AAE" w:rsidP="00CF687B">
            <w:pPr>
              <w:keepNext/>
              <w:keepLines/>
            </w:pPr>
            <w:r>
              <w:t>Participant Billing Data Provided</w:t>
            </w:r>
          </w:p>
        </w:tc>
        <w:tc>
          <w:tcPr>
            <w:tcW w:w="963" w:type="dxa"/>
            <w:vAlign w:val="center"/>
          </w:tcPr>
          <w:p w14:paraId="01294842" w14:textId="77777777" w:rsidR="003D1AAE" w:rsidRDefault="003D1AAE" w:rsidP="00CF687B">
            <w:pPr>
              <w:keepNext/>
              <w:keepLines/>
              <w:jc w:val="center"/>
              <w:cnfStyle w:val="000000010000" w:firstRow="0" w:lastRow="0" w:firstColumn="0" w:lastColumn="0" w:oddVBand="0" w:evenVBand="0" w:oddHBand="0" w:evenHBand="1" w:firstRowFirstColumn="0" w:firstRowLastColumn="0" w:lastRowFirstColumn="0" w:lastRowLastColumn="0"/>
            </w:pPr>
            <w:r>
              <w:t>800</w:t>
            </w:r>
          </w:p>
        </w:tc>
      </w:tr>
      <w:tr w:rsidR="003D1AAE" w14:paraId="01294846" w14:textId="77777777" w:rsidTr="00CF687B">
        <w:trPr>
          <w:trHeight w:val="540"/>
          <w:jc w:val="center"/>
        </w:trPr>
        <w:tc>
          <w:tcPr>
            <w:cnfStyle w:val="001000000000" w:firstRow="0" w:lastRow="0" w:firstColumn="1" w:lastColumn="0" w:oddVBand="0" w:evenVBand="0" w:oddHBand="0" w:evenHBand="0" w:firstRowFirstColumn="0" w:firstRowLastColumn="0" w:lastRowFirstColumn="0" w:lastRowLastColumn="0"/>
            <w:tcW w:w="3540" w:type="dxa"/>
            <w:vAlign w:val="center"/>
          </w:tcPr>
          <w:p w14:paraId="01294844" w14:textId="77777777" w:rsidR="003D1AAE" w:rsidRDefault="003D1AAE" w:rsidP="00CF687B">
            <w:pPr>
              <w:keepNext/>
              <w:keepLines/>
            </w:pPr>
            <w:r>
              <w:t>Remaining Sample After Filtering</w:t>
            </w:r>
          </w:p>
        </w:tc>
        <w:tc>
          <w:tcPr>
            <w:tcW w:w="963" w:type="dxa"/>
            <w:vAlign w:val="center"/>
          </w:tcPr>
          <w:p w14:paraId="01294845" w14:textId="77777777" w:rsidR="003D1AAE" w:rsidRDefault="003D1AAE" w:rsidP="00CF687B">
            <w:pPr>
              <w:keepNext/>
              <w:keepLines/>
              <w:jc w:val="center"/>
              <w:cnfStyle w:val="000000000000" w:firstRow="0" w:lastRow="0" w:firstColumn="0" w:lastColumn="0" w:oddVBand="0" w:evenVBand="0" w:oddHBand="0" w:evenHBand="0" w:firstRowFirstColumn="0" w:firstRowLastColumn="0" w:lastRowFirstColumn="0" w:lastRowLastColumn="0"/>
            </w:pPr>
            <w:r>
              <w:t>665</w:t>
            </w:r>
          </w:p>
        </w:tc>
      </w:tr>
      <w:tr w:rsidR="003D1AAE" w14:paraId="01294849" w14:textId="77777777" w:rsidTr="00CF687B">
        <w:trPr>
          <w:cnfStyle w:val="000000010000" w:firstRow="0" w:lastRow="0" w:firstColumn="0" w:lastColumn="0" w:oddVBand="0" w:evenVBand="0" w:oddHBand="0" w:evenHBand="1" w:firstRowFirstColumn="0" w:firstRowLastColumn="0" w:lastRowFirstColumn="0" w:lastRowLastColumn="0"/>
          <w:trHeight w:val="540"/>
          <w:jc w:val="center"/>
        </w:trPr>
        <w:tc>
          <w:tcPr>
            <w:cnfStyle w:val="001000000000" w:firstRow="0" w:lastRow="0" w:firstColumn="1" w:lastColumn="0" w:oddVBand="0" w:evenVBand="0" w:oddHBand="0" w:evenHBand="0" w:firstRowFirstColumn="0" w:firstRowLastColumn="0" w:lastRowFirstColumn="0" w:lastRowLastColumn="0"/>
            <w:tcW w:w="3540" w:type="dxa"/>
            <w:vAlign w:val="center"/>
          </w:tcPr>
          <w:p w14:paraId="01294847" w14:textId="77777777" w:rsidR="003D1AAE" w:rsidRDefault="00BF07D1" w:rsidP="00CF687B">
            <w:pPr>
              <w:keepNext/>
              <w:keepLines/>
            </w:pPr>
            <w:r>
              <w:t xml:space="preserve">Billing Data </w:t>
            </w:r>
            <w:r w:rsidR="003D1AAE">
              <w:t>Sample Selected</w:t>
            </w:r>
            <w:r w:rsidR="003D1AAE">
              <w:rPr>
                <w:rStyle w:val="FootnoteReference"/>
              </w:rPr>
              <w:footnoteReference w:id="5"/>
            </w:r>
          </w:p>
        </w:tc>
        <w:tc>
          <w:tcPr>
            <w:tcW w:w="963" w:type="dxa"/>
            <w:vAlign w:val="center"/>
          </w:tcPr>
          <w:p w14:paraId="01294848" w14:textId="77777777" w:rsidR="003D1AAE" w:rsidRDefault="003D1AAE" w:rsidP="00CF687B">
            <w:pPr>
              <w:keepNext/>
              <w:keepLines/>
              <w:jc w:val="center"/>
              <w:cnfStyle w:val="000000010000" w:firstRow="0" w:lastRow="0" w:firstColumn="0" w:lastColumn="0" w:oddVBand="0" w:evenVBand="0" w:oddHBand="0" w:evenHBand="1" w:firstRowFirstColumn="0" w:firstRowLastColumn="0" w:lastRowFirstColumn="0" w:lastRowLastColumn="0"/>
            </w:pPr>
            <w:r>
              <w:t>380</w:t>
            </w:r>
          </w:p>
        </w:tc>
      </w:tr>
      <w:tr w:rsidR="00BF07D1" w14:paraId="0129484C" w14:textId="77777777" w:rsidTr="00CF687B">
        <w:trPr>
          <w:trHeight w:val="540"/>
          <w:jc w:val="center"/>
        </w:trPr>
        <w:tc>
          <w:tcPr>
            <w:cnfStyle w:val="001000000000" w:firstRow="0" w:lastRow="0" w:firstColumn="1" w:lastColumn="0" w:oddVBand="0" w:evenVBand="0" w:oddHBand="0" w:evenHBand="0" w:firstRowFirstColumn="0" w:firstRowLastColumn="0" w:lastRowFirstColumn="0" w:lastRowLastColumn="0"/>
            <w:tcW w:w="3540" w:type="dxa"/>
            <w:vAlign w:val="center"/>
          </w:tcPr>
          <w:p w14:paraId="0129484A" w14:textId="77777777" w:rsidR="00BF07D1" w:rsidRDefault="00BF07D1" w:rsidP="00CF687B">
            <w:pPr>
              <w:keepNext/>
              <w:keepLines/>
            </w:pPr>
            <w:r>
              <w:t>On-site Sample Selected</w:t>
            </w:r>
          </w:p>
        </w:tc>
        <w:tc>
          <w:tcPr>
            <w:tcW w:w="963" w:type="dxa"/>
            <w:vAlign w:val="center"/>
          </w:tcPr>
          <w:p w14:paraId="0129484B" w14:textId="77777777" w:rsidR="00BF07D1" w:rsidRDefault="00BF07D1" w:rsidP="00CF687B">
            <w:pPr>
              <w:keepNext/>
              <w:keepLines/>
              <w:jc w:val="center"/>
              <w:cnfStyle w:val="000000000000" w:firstRow="0" w:lastRow="0" w:firstColumn="0" w:lastColumn="0" w:oddVBand="0" w:evenVBand="0" w:oddHBand="0" w:evenHBand="0" w:firstRowFirstColumn="0" w:firstRowLastColumn="0" w:lastRowFirstColumn="0" w:lastRowLastColumn="0"/>
            </w:pPr>
            <w:r>
              <w:t>39</w:t>
            </w:r>
          </w:p>
        </w:tc>
      </w:tr>
    </w:tbl>
    <w:p w14:paraId="0129484D" w14:textId="77777777" w:rsidR="00A73BE9" w:rsidRDefault="00A73BE9" w:rsidP="00AE0D1A">
      <w:bookmarkStart w:id="12" w:name="_Toc363079839"/>
      <w:bookmarkEnd w:id="12"/>
    </w:p>
    <w:p w14:paraId="0129484E" w14:textId="77777777" w:rsidR="00A73BE9" w:rsidRDefault="00A73BE9" w:rsidP="00CF687B">
      <w:pPr>
        <w:keepNext/>
      </w:pPr>
      <w:r>
        <w:t>Navigant did not stratify the sample or use formal representativeness quotas. The majority of the final metering sites were in the suburbs of Chicago</w:t>
      </w:r>
      <w:r w:rsidR="00E96A95">
        <w:t xml:space="preserve"> with some</w:t>
      </w:r>
      <w:r>
        <w:t xml:space="preserve"> </w:t>
      </w:r>
      <w:r w:rsidR="00E96A95">
        <w:t>in the</w:t>
      </w:r>
      <w:r>
        <w:t xml:space="preserve"> Rockford </w:t>
      </w:r>
      <w:r w:rsidR="00E96A95">
        <w:t xml:space="preserve">area </w:t>
      </w:r>
      <w:r>
        <w:t>to the north</w:t>
      </w:r>
      <w:r w:rsidR="00E96A95">
        <w:t>west</w:t>
      </w:r>
      <w:r>
        <w:t xml:space="preserve"> </w:t>
      </w:r>
      <w:r w:rsidR="00E96A95">
        <w:t>and the</w:t>
      </w:r>
      <w:r>
        <w:t xml:space="preserve"> Bloomington </w:t>
      </w:r>
      <w:r w:rsidR="00E96A95">
        <w:t xml:space="preserve">area </w:t>
      </w:r>
      <w:r>
        <w:t>to the south</w:t>
      </w:r>
      <w:r w:rsidR="00E96A95">
        <w:t>west</w:t>
      </w:r>
      <w:r>
        <w:t xml:space="preserve">. </w:t>
      </w:r>
      <w:r>
        <w:fldChar w:fldCharType="begin"/>
      </w:r>
      <w:r>
        <w:instrText xml:space="preserve"> REF _Ref363127385 \h </w:instrText>
      </w:r>
      <w:r w:rsidR="00CF687B">
        <w:instrText xml:space="preserve"> \* MERGEFORMAT </w:instrText>
      </w:r>
      <w:r>
        <w:fldChar w:fldCharType="separate"/>
      </w:r>
      <w:r w:rsidR="00CF687B">
        <w:t xml:space="preserve">Figure </w:t>
      </w:r>
      <w:r w:rsidR="00CF687B">
        <w:rPr>
          <w:noProof/>
        </w:rPr>
        <w:t>1</w:t>
      </w:r>
      <w:r w:rsidR="00CF687B">
        <w:noBreakHyphen/>
      </w:r>
      <w:r w:rsidR="00CF687B">
        <w:rPr>
          <w:noProof/>
        </w:rPr>
        <w:t>1</w:t>
      </w:r>
      <w:r>
        <w:fldChar w:fldCharType="end"/>
      </w:r>
      <w:r>
        <w:t xml:space="preserve"> shows the distribution of the overall billing data and metered samples.</w:t>
      </w:r>
      <w:r>
        <w:rPr>
          <w:rStyle w:val="FootnoteReference"/>
        </w:rPr>
        <w:footnoteReference w:id="6"/>
      </w:r>
      <w:r>
        <w:t xml:space="preserve"> </w:t>
      </w:r>
    </w:p>
    <w:p w14:paraId="0129484F" w14:textId="77777777" w:rsidR="00A73BE9" w:rsidRDefault="00CF687B" w:rsidP="00CF687B">
      <w:pPr>
        <w:pStyle w:val="Caption"/>
      </w:pPr>
      <w:bookmarkStart w:id="13" w:name="_Ref363127385"/>
      <w:bookmarkStart w:id="14" w:name="_Toc363131928"/>
      <w:r>
        <w:rPr>
          <w:noProof/>
        </w:rPr>
        <w:drawing>
          <wp:anchor distT="0" distB="0" distL="114300" distR="114300" simplePos="0" relativeHeight="251696128" behindDoc="0" locked="0" layoutInCell="1" allowOverlap="1" wp14:anchorId="012949B0" wp14:editId="012949B1">
            <wp:simplePos x="0" y="0"/>
            <wp:positionH relativeFrom="column">
              <wp:posOffset>3252083</wp:posOffset>
            </wp:positionH>
            <wp:positionV relativeFrom="paragraph">
              <wp:posOffset>3258057</wp:posOffset>
            </wp:positionV>
            <wp:extent cx="1208599" cy="281319"/>
            <wp:effectExtent l="0" t="0" r="0" b="4445"/>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10492" cy="281760"/>
                    </a:xfrm>
                    <a:prstGeom prst="rect">
                      <a:avLst/>
                    </a:prstGeom>
                    <a:noFill/>
                  </pic:spPr>
                </pic:pic>
              </a:graphicData>
            </a:graphic>
            <wp14:sizeRelH relativeFrom="page">
              <wp14:pctWidth>0</wp14:pctWidth>
            </wp14:sizeRelH>
            <wp14:sizeRelV relativeFrom="page">
              <wp14:pctHeight>0</wp14:pctHeight>
            </wp14:sizeRelV>
          </wp:anchor>
        </w:drawing>
      </w:r>
      <w:r w:rsidR="00A73BE9">
        <w:t xml:space="preserve">Figure </w:t>
      </w:r>
      <w:fldSimple w:instr=" STYLEREF 1 \s ">
        <w:r>
          <w:rPr>
            <w:noProof/>
          </w:rPr>
          <w:t>1</w:t>
        </w:r>
      </w:fldSimple>
      <w:r w:rsidR="00746B41">
        <w:noBreakHyphen/>
      </w:r>
      <w:fldSimple w:instr=" SEQ Figure \* ARABIC \s 1 ">
        <w:r>
          <w:rPr>
            <w:noProof/>
          </w:rPr>
          <w:t>1</w:t>
        </w:r>
      </w:fldSimple>
      <w:bookmarkEnd w:id="13"/>
      <w:r w:rsidR="00A73BE9">
        <w:t>: Map of Billing Data and Metered Samples</w:t>
      </w:r>
      <w:bookmarkEnd w:id="14"/>
      <w:r w:rsidRPr="00CF687B">
        <w:t xml:space="preserve"> </w:t>
      </w:r>
      <w:r>
        <w:rPr>
          <w:noProof/>
        </w:rPr>
        <w:drawing>
          <wp:inline distT="0" distB="0" distL="0" distR="0" wp14:anchorId="012949B2" wp14:editId="012949B3">
            <wp:extent cx="3021496" cy="3370885"/>
            <wp:effectExtent l="0" t="0" r="762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24021" cy="3373702"/>
                    </a:xfrm>
                    <a:prstGeom prst="rect">
                      <a:avLst/>
                    </a:prstGeom>
                    <a:noFill/>
                  </pic:spPr>
                </pic:pic>
              </a:graphicData>
            </a:graphic>
          </wp:inline>
        </w:drawing>
      </w:r>
    </w:p>
    <w:p w14:paraId="01294850" w14:textId="77777777" w:rsidR="00A73BE9" w:rsidRPr="00CF687B" w:rsidRDefault="00A73BE9" w:rsidP="00CF687B">
      <w:pPr>
        <w:jc w:val="center"/>
        <w:rPr>
          <w:i/>
          <w:sz w:val="18"/>
          <w:szCs w:val="18"/>
        </w:rPr>
      </w:pPr>
      <w:r w:rsidRPr="00CF687B">
        <w:rPr>
          <w:i/>
          <w:sz w:val="18"/>
          <w:szCs w:val="18"/>
        </w:rPr>
        <w:t xml:space="preserve">Source: </w:t>
      </w:r>
      <w:r>
        <w:rPr>
          <w:i/>
          <w:sz w:val="18"/>
          <w:szCs w:val="18"/>
        </w:rPr>
        <w:t xml:space="preserve">Navigant analysis, </w:t>
      </w:r>
      <w:r w:rsidRPr="00CF687B">
        <w:rPr>
          <w:i/>
          <w:sz w:val="18"/>
          <w:szCs w:val="18"/>
        </w:rPr>
        <w:t>BatchGeo.com</w:t>
      </w:r>
    </w:p>
    <w:p w14:paraId="01294851" w14:textId="77777777" w:rsidR="00AE0D1A" w:rsidRPr="0079312D" w:rsidRDefault="00AE0D1A" w:rsidP="0079312D">
      <w:pPr>
        <w:pStyle w:val="Heading3"/>
      </w:pPr>
      <w:bookmarkStart w:id="15" w:name="_Toc363131910"/>
      <w:r w:rsidRPr="0079312D">
        <w:lastRenderedPageBreak/>
        <w:t>Billing Data Disaggregation</w:t>
      </w:r>
      <w:bookmarkEnd w:id="15"/>
    </w:p>
    <w:p w14:paraId="01294852" w14:textId="77777777" w:rsidR="00AE0D1A" w:rsidRDefault="00AE0D1A" w:rsidP="00AE0D1A">
      <w:r>
        <w:t xml:space="preserve">Navigant used participant billing records and program data on furnace models installed to estimate heating load, EFLH and furnace savings for </w:t>
      </w:r>
      <w:r w:rsidR="001D2A47">
        <w:t>the 380</w:t>
      </w:r>
      <w:r>
        <w:t xml:space="preserve"> participants</w:t>
      </w:r>
      <w:r w:rsidR="001D2A47">
        <w:t xml:space="preserve"> in the analysis sample</w:t>
      </w:r>
      <w:r w:rsidR="00B301EA">
        <w:t xml:space="preserve">. </w:t>
      </w:r>
      <w:r w:rsidR="00D728EF">
        <w:t xml:space="preserve">The evaluation team </w:t>
      </w:r>
      <w:r>
        <w:t>used a sample of Rider 29 participants as suggested by Nicor Gas in order to maximize the amount of billing data available, assuming that this population is similar to Rider 30 participants. For a complete description of the disaggregation methodology, please see Appendix</w:t>
      </w:r>
      <w:r w:rsidR="003F7D8F">
        <w:t xml:space="preserve"> </w:t>
      </w:r>
      <w:r w:rsidR="003F7D8F">
        <w:fldChar w:fldCharType="begin"/>
      </w:r>
      <w:r w:rsidR="003F7D8F">
        <w:instrText xml:space="preserve"> REF _Ref363080036 \r \h </w:instrText>
      </w:r>
      <w:r w:rsidR="003F7D8F">
        <w:fldChar w:fldCharType="separate"/>
      </w:r>
      <w:r w:rsidR="00CF687B">
        <w:t>4.1</w:t>
      </w:r>
      <w:r w:rsidR="003F7D8F">
        <w:fldChar w:fldCharType="end"/>
      </w:r>
      <w:r w:rsidR="00B301EA">
        <w:t xml:space="preserve">. </w:t>
      </w:r>
      <w:r>
        <w:t xml:space="preserve">  </w:t>
      </w:r>
    </w:p>
    <w:p w14:paraId="01294853" w14:textId="77777777" w:rsidR="00AE0D1A" w:rsidRPr="0079312D" w:rsidRDefault="00AE0D1A" w:rsidP="0079312D">
      <w:pPr>
        <w:pStyle w:val="Heading3"/>
      </w:pPr>
      <w:bookmarkStart w:id="16" w:name="_Toc363131911"/>
      <w:r w:rsidRPr="0079312D">
        <w:t>Metering Approach</w:t>
      </w:r>
      <w:bookmarkEnd w:id="16"/>
    </w:p>
    <w:p w14:paraId="01294854" w14:textId="77777777" w:rsidR="00DC7273" w:rsidRDefault="00AE0D1A" w:rsidP="00CF687B">
      <w:r>
        <w:t>Navigant installed data loggers in the field on a sample of ≥95% AFUE furnaces in 39 homes</w:t>
      </w:r>
      <w:r w:rsidR="00372041">
        <w:t xml:space="preserve"> in November 2012, leaving the loggers installed until May 2013</w:t>
      </w:r>
      <w:r w:rsidR="00B301EA">
        <w:t xml:space="preserve">. </w:t>
      </w:r>
      <w:r>
        <w:t>In addition to collecting time of use data from both the furnace gas valves and blower motor, Navigant also took spot measurements of furnace gas consumption, monitored indoor temperature at the thermostat at ten minute intervals and collected data on home characteristics. For dual stage furnaces, Navigant metered both gas valves and took spot measurements at both high and low stages whenever possible.</w:t>
      </w:r>
      <w:r>
        <w:rPr>
          <w:rStyle w:val="FootnoteReference"/>
        </w:rPr>
        <w:footnoteReference w:id="7"/>
      </w:r>
      <w:r>
        <w:t xml:space="preserve"> </w:t>
      </w:r>
    </w:p>
    <w:p w14:paraId="01294855" w14:textId="77777777" w:rsidR="00372041" w:rsidRDefault="00372041" w:rsidP="00DF2649">
      <w:pPr>
        <w:pStyle w:val="Heading4"/>
      </w:pPr>
      <w:bookmarkStart w:id="17" w:name="_Toc363079842"/>
      <w:bookmarkStart w:id="18" w:name="_Toc363131912"/>
      <w:bookmarkEnd w:id="17"/>
      <w:r>
        <w:t>Logger Installation Procedures</w:t>
      </w:r>
      <w:bookmarkEnd w:id="18"/>
    </w:p>
    <w:p w14:paraId="01294856" w14:textId="77777777" w:rsidR="00372041" w:rsidRDefault="00372041" w:rsidP="00CF687B">
      <w:r>
        <w:t xml:space="preserve">At each site, Navigant </w:t>
      </w:r>
      <w:r w:rsidR="00E96A95">
        <w:t>first conducted</w:t>
      </w:r>
      <w:r>
        <w:t xml:space="preserve"> a brief interview with the homeowner. This interview collected information on home occupancy</w:t>
      </w:r>
      <w:r w:rsidR="00E96A95">
        <w:t>,</w:t>
      </w:r>
      <w:r>
        <w:t xml:space="preserve"> physical characteristics</w:t>
      </w:r>
      <w:r w:rsidR="00E96A95">
        <w:t xml:space="preserve"> of the house and other gas appliances </w:t>
      </w:r>
      <w:r>
        <w:t xml:space="preserve">in the household. </w:t>
      </w:r>
    </w:p>
    <w:p w14:paraId="01294857" w14:textId="77777777" w:rsidR="00DC7273" w:rsidRDefault="00DC7273" w:rsidP="00CF687B"/>
    <w:p w14:paraId="01294858" w14:textId="77777777" w:rsidR="00746B41" w:rsidRDefault="00372041" w:rsidP="00CF687B">
      <w:r>
        <w:t xml:space="preserve">After conducting the interview, field staff recorded the gas meter number and current meter reading and proceeded to install the data loggers at the furnace. </w:t>
      </w:r>
      <w:r w:rsidR="00746B41">
        <w:t xml:space="preserve">Navigant installed a current transducer (CT) on each solenoid gas valve wire and on the blower motor wire. Each current transducer was connected to a data logger which recorded an on or off state based on the presence or absence of current in each wire. </w:t>
      </w:r>
      <w:r w:rsidR="00746B41">
        <w:fldChar w:fldCharType="begin"/>
      </w:r>
      <w:r w:rsidR="00746B41">
        <w:instrText xml:space="preserve"> REF _Ref363128473 \h </w:instrText>
      </w:r>
      <w:r w:rsidR="00746B41">
        <w:fldChar w:fldCharType="separate"/>
      </w:r>
      <w:r w:rsidR="00CF687B">
        <w:t xml:space="preserve">Figure </w:t>
      </w:r>
      <w:r w:rsidR="00CF687B">
        <w:rPr>
          <w:noProof/>
        </w:rPr>
        <w:t>1</w:t>
      </w:r>
      <w:r w:rsidR="00CF687B">
        <w:noBreakHyphen/>
      </w:r>
      <w:r w:rsidR="00CF687B">
        <w:rPr>
          <w:noProof/>
        </w:rPr>
        <w:t>2</w:t>
      </w:r>
      <w:r w:rsidR="00746B41">
        <w:fldChar w:fldCharType="end"/>
      </w:r>
      <w:r w:rsidR="00746B41">
        <w:t xml:space="preserve"> shows two CTs installed on the solenoid valve wires of a dual stage furnace; the inset shows an example of the data loggers to which each CT connects. </w:t>
      </w:r>
    </w:p>
    <w:p w14:paraId="01294859" w14:textId="77777777" w:rsidR="00746B41" w:rsidRDefault="00746B41" w:rsidP="00CF687B"/>
    <w:p w14:paraId="0129485A" w14:textId="77777777" w:rsidR="00746B41" w:rsidRDefault="00746B41" w:rsidP="00CF687B">
      <w:pPr>
        <w:pStyle w:val="Caption"/>
      </w:pPr>
      <w:bookmarkStart w:id="19" w:name="_Ref363128473"/>
      <w:bookmarkStart w:id="20" w:name="_Toc363131929"/>
      <w:r>
        <w:lastRenderedPageBreak/>
        <w:t xml:space="preserve">Figure </w:t>
      </w:r>
      <w:fldSimple w:instr=" STYLEREF 1 \s ">
        <w:r w:rsidR="00CF687B">
          <w:rPr>
            <w:noProof/>
          </w:rPr>
          <w:t>1</w:t>
        </w:r>
      </w:fldSimple>
      <w:r>
        <w:noBreakHyphen/>
      </w:r>
      <w:fldSimple w:instr=" SEQ Figure \* ARABIC \s 1 ">
        <w:r w:rsidR="00CF687B">
          <w:rPr>
            <w:noProof/>
          </w:rPr>
          <w:t>2</w:t>
        </w:r>
      </w:fldSimple>
      <w:bookmarkEnd w:id="19"/>
      <w:r>
        <w:t>: Example Installation of Current Transducers on Dual Stage Furnace</w:t>
      </w:r>
      <w:bookmarkEnd w:id="20"/>
    </w:p>
    <w:p w14:paraId="0129485B" w14:textId="77777777" w:rsidR="00746B41" w:rsidRDefault="00746B41" w:rsidP="00CF687B">
      <w:pPr>
        <w:jc w:val="center"/>
      </w:pPr>
      <w:r>
        <w:rPr>
          <w:noProof/>
        </w:rPr>
        <w:drawing>
          <wp:inline distT="0" distB="0" distL="0" distR="0" wp14:anchorId="012949B4" wp14:editId="012949B5">
            <wp:extent cx="3737113" cy="2970278"/>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37271" cy="2970403"/>
                    </a:xfrm>
                    <a:prstGeom prst="rect">
                      <a:avLst/>
                    </a:prstGeom>
                    <a:noFill/>
                    <a:ln>
                      <a:noFill/>
                    </a:ln>
                  </pic:spPr>
                </pic:pic>
              </a:graphicData>
            </a:graphic>
          </wp:inline>
        </w:drawing>
      </w:r>
    </w:p>
    <w:p w14:paraId="0129485C" w14:textId="77777777" w:rsidR="006A4718" w:rsidRDefault="006A4718" w:rsidP="00CF687B"/>
    <w:p w14:paraId="0129485D" w14:textId="77777777" w:rsidR="00DF2649" w:rsidRDefault="00372041" w:rsidP="00CF687B">
      <w:r>
        <w:t>To take spot measurements of gas consumption, field staff ensured that all other gas equipment was turned off and recorded the gas consumption on the meter for a fixed period of time with the furnace on. Navigant repeated this procedure for both low and high stage for dual stage units.</w:t>
      </w:r>
      <w:r w:rsidR="00DF2649">
        <w:t xml:space="preserve"> Field staff also installed a temperature logger near the thermostat controlling the furnace. </w:t>
      </w:r>
    </w:p>
    <w:p w14:paraId="0129485E" w14:textId="77777777" w:rsidR="00746B41" w:rsidRDefault="00746B41" w:rsidP="00CF687B"/>
    <w:p w14:paraId="0129485F" w14:textId="77777777" w:rsidR="00372041" w:rsidRDefault="00DF2649" w:rsidP="00CF687B">
      <w:r>
        <w:t>Finally, Navigant conducted a physical inspection of the home to determine approximate floor, wall and window areas as well as wall and window types</w:t>
      </w:r>
      <w:r w:rsidR="00B301EA">
        <w:t xml:space="preserve">. </w:t>
      </w:r>
    </w:p>
    <w:p w14:paraId="01294860" w14:textId="77777777" w:rsidR="00372041" w:rsidRDefault="00372041" w:rsidP="00372041">
      <w:pPr>
        <w:pStyle w:val="Heading4"/>
      </w:pPr>
      <w:bookmarkStart w:id="21" w:name="_Toc363131913"/>
      <w:r>
        <w:t>Combustion Efficiency Spot Measurements</w:t>
      </w:r>
      <w:bookmarkEnd w:id="21"/>
    </w:p>
    <w:p w14:paraId="01294861" w14:textId="77777777" w:rsidR="00372041" w:rsidRPr="00372041" w:rsidRDefault="00372041" w:rsidP="00CF687B">
      <w:r>
        <w:t xml:space="preserve">Navigant also attempted to take spot measurements of furnace combustion efficiency during the logger installation visits. Due to equipment malfunction, the field team was unable to collect reliable data from all sites. Navigant addressed these equipment issues and planned to re-take these measurements during the retrieval visits, but on most of these visits the weather was too hot to force the furnace to fire without making participants’ homes uncomfortably warm. The sites with reasonable data did show lower spot measurements than the units’ rated AFUE, but given the </w:t>
      </w:r>
      <w:r w:rsidR="003F7D8F">
        <w:t>small number of reasonable measurements</w:t>
      </w:r>
      <w:r>
        <w:t xml:space="preserve"> and the fact that</w:t>
      </w:r>
      <w:r w:rsidR="00DC7273">
        <w:t xml:space="preserve"> the team</w:t>
      </w:r>
      <w:r>
        <w:t xml:space="preserve"> could only measure once when the unit had only been running for five to ten minutes, Navigant elected to use rated AFUE values for both baseline and efficient equipment to calculate heat loads and savings from the consumption data. </w:t>
      </w:r>
    </w:p>
    <w:p w14:paraId="01294862" w14:textId="77777777" w:rsidR="00BD122A" w:rsidRDefault="00BD122A" w:rsidP="00BD122A">
      <w:pPr>
        <w:pStyle w:val="Heading4"/>
      </w:pPr>
      <w:bookmarkStart w:id="22" w:name="_Toc363131914"/>
      <w:r>
        <w:t>Metered Data Analysis</w:t>
      </w:r>
      <w:bookmarkEnd w:id="22"/>
    </w:p>
    <w:p w14:paraId="01294863" w14:textId="77777777" w:rsidR="00B60B52" w:rsidRDefault="007F454C" w:rsidP="007F454C">
      <w:r>
        <w:t xml:space="preserve">After retrieving the data loggers, Navigant first analyzed the logger data for quality. </w:t>
      </w:r>
      <w:r w:rsidR="00DC7273">
        <w:t xml:space="preserve">The team </w:t>
      </w:r>
      <w:r>
        <w:t>constructed histograms of time between state changes</w:t>
      </w:r>
      <w:r w:rsidR="006E0D96">
        <w:t xml:space="preserve"> </w:t>
      </w:r>
      <w:r>
        <w:t>to identify “flicker”</w:t>
      </w:r>
      <w:r>
        <w:rPr>
          <w:rStyle w:val="FootnoteReference"/>
        </w:rPr>
        <w:footnoteReference w:id="8"/>
      </w:r>
      <w:r>
        <w:t xml:space="preserve"> in each logger file and applied flicker filters to reflect the actual operation of the furnace. </w:t>
      </w:r>
      <w:r w:rsidR="00DC7273">
        <w:t xml:space="preserve">For additional detail on flicker filters and other </w:t>
      </w:r>
      <w:r w:rsidR="00DC7273">
        <w:lastRenderedPageBreak/>
        <w:t xml:space="preserve">quality control procedures, please see Appendix </w:t>
      </w:r>
      <w:r w:rsidR="00DC7273">
        <w:fldChar w:fldCharType="begin"/>
      </w:r>
      <w:r w:rsidR="00DC7273">
        <w:instrText xml:space="preserve"> REF _Ref363040275 \r \h </w:instrText>
      </w:r>
      <w:r w:rsidR="00DC7273">
        <w:fldChar w:fldCharType="separate"/>
      </w:r>
      <w:r w:rsidR="00CF687B">
        <w:t>4.2.1</w:t>
      </w:r>
      <w:r w:rsidR="00DC7273">
        <w:fldChar w:fldCharType="end"/>
      </w:r>
      <w:r w:rsidR="00DC7273">
        <w:t xml:space="preserve">: </w:t>
      </w:r>
      <w:r w:rsidR="00DC7273">
        <w:fldChar w:fldCharType="begin"/>
      </w:r>
      <w:r w:rsidR="00DC7273">
        <w:instrText xml:space="preserve"> REF _Ref363040275 \h  \* MERGEFORMAT </w:instrText>
      </w:r>
      <w:r w:rsidR="00DC7273">
        <w:fldChar w:fldCharType="separate"/>
      </w:r>
      <w:r w:rsidR="00CF687B">
        <w:t>Data QC and Cleaning</w:t>
      </w:r>
      <w:r w:rsidR="00DC7273">
        <w:fldChar w:fldCharType="end"/>
      </w:r>
      <w:r w:rsidR="00DC7273">
        <w:t xml:space="preserve">. </w:t>
      </w:r>
      <w:r>
        <w:t xml:space="preserve">Navigant </w:t>
      </w:r>
      <w:r w:rsidR="00DC7273">
        <w:t xml:space="preserve">also </w:t>
      </w:r>
      <w:r>
        <w:t>generated weekly, monthly, and seasonal graphs to ensure the blower motor operation, gas valve operation, and indoor temperature</w:t>
      </w:r>
      <w:r w:rsidR="000766E1">
        <w:t xml:space="preserve"> data</w:t>
      </w:r>
      <w:r>
        <w:t xml:space="preserve"> </w:t>
      </w:r>
      <w:r w:rsidR="000766E1">
        <w:t xml:space="preserve">was logical. </w:t>
      </w:r>
      <w:r w:rsidR="006E0D96">
        <w:fldChar w:fldCharType="begin"/>
      </w:r>
      <w:r w:rsidR="006E0D96">
        <w:instrText xml:space="preserve"> REF _Ref362617963 \h </w:instrText>
      </w:r>
      <w:r w:rsidR="006E0D96">
        <w:fldChar w:fldCharType="separate"/>
      </w:r>
      <w:r w:rsidR="00CF687B">
        <w:t xml:space="preserve">Figure </w:t>
      </w:r>
      <w:r w:rsidR="00CF687B">
        <w:rPr>
          <w:noProof/>
        </w:rPr>
        <w:t>1</w:t>
      </w:r>
      <w:r w:rsidR="00CF687B">
        <w:noBreakHyphen/>
      </w:r>
      <w:r w:rsidR="00CF687B">
        <w:rPr>
          <w:noProof/>
        </w:rPr>
        <w:t>3</w:t>
      </w:r>
      <w:r w:rsidR="006E0D96">
        <w:fldChar w:fldCharType="end"/>
      </w:r>
      <w:r w:rsidR="001B2730">
        <w:t xml:space="preserve"> shows an example of these weekly graphs</w:t>
      </w:r>
      <w:r w:rsidR="00916662">
        <w:t>.</w:t>
      </w:r>
      <w:r w:rsidR="00DC7273">
        <w:t xml:space="preserve"> </w:t>
      </w:r>
      <w:r w:rsidR="00916662">
        <w:t>I</w:t>
      </w:r>
      <w:r w:rsidR="001B2730">
        <w:t>n this particular case</w:t>
      </w:r>
      <w:r w:rsidR="006E0D96">
        <w:t xml:space="preserve"> </w:t>
      </w:r>
      <w:r w:rsidR="001B2730">
        <w:t xml:space="preserve">Navigant determined the dataset to be reasonable </w:t>
      </w:r>
      <w:r w:rsidR="006E0D96">
        <w:t xml:space="preserve">based on </w:t>
      </w:r>
      <w:r w:rsidR="00D728EF" w:rsidRPr="00D728EF">
        <w:t xml:space="preserve">matching blower (top) and single stage gas valve operation (middle) and the temperature setbacks (bottom) </w:t>
      </w:r>
      <w:r w:rsidR="00DC7273">
        <w:t xml:space="preserve">which correlated well </w:t>
      </w:r>
      <w:r w:rsidR="00D728EF" w:rsidRPr="00D728EF">
        <w:t>with lack of furnace operation</w:t>
      </w:r>
      <w:r w:rsidR="001B2730">
        <w:t>.</w:t>
      </w:r>
    </w:p>
    <w:p w14:paraId="01294864" w14:textId="77777777" w:rsidR="00B60B52" w:rsidRDefault="00B60B52" w:rsidP="007F454C"/>
    <w:p w14:paraId="01294865" w14:textId="77777777" w:rsidR="006E0D96" w:rsidRDefault="006E0D96" w:rsidP="006E0D96">
      <w:pPr>
        <w:pStyle w:val="Caption"/>
        <w:jc w:val="left"/>
      </w:pPr>
      <w:bookmarkStart w:id="23" w:name="_Ref362617963"/>
      <w:bookmarkStart w:id="24" w:name="_Toc363131930"/>
      <w:r>
        <w:t xml:space="preserve">Figure </w:t>
      </w:r>
      <w:fldSimple w:instr=" STYLEREF 1 \s ">
        <w:r w:rsidR="00CF687B">
          <w:rPr>
            <w:noProof/>
          </w:rPr>
          <w:t>1</w:t>
        </w:r>
      </w:fldSimple>
      <w:r w:rsidR="00746B41">
        <w:noBreakHyphen/>
      </w:r>
      <w:fldSimple w:instr=" SEQ Figure \* ARABIC \s 1 ">
        <w:r w:rsidR="00CF687B">
          <w:rPr>
            <w:noProof/>
          </w:rPr>
          <w:t>3</w:t>
        </w:r>
      </w:fldSimple>
      <w:bookmarkEnd w:id="23"/>
      <w:r>
        <w:t>: Example Weekly Furnace Operation Graphs</w:t>
      </w:r>
      <w:bookmarkEnd w:id="24"/>
    </w:p>
    <w:p w14:paraId="01294866" w14:textId="77777777" w:rsidR="00B60B52" w:rsidRDefault="00D728EF" w:rsidP="007F454C">
      <w:r>
        <w:rPr>
          <w:noProof/>
        </w:rPr>
        <w:drawing>
          <wp:inline distT="0" distB="0" distL="0" distR="0" wp14:anchorId="012949B6" wp14:editId="012949B7">
            <wp:extent cx="5897880" cy="3562042"/>
            <wp:effectExtent l="0" t="0" r="762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897880" cy="3562042"/>
                    </a:xfrm>
                    <a:prstGeom prst="rect">
                      <a:avLst/>
                    </a:prstGeom>
                  </pic:spPr>
                </pic:pic>
              </a:graphicData>
            </a:graphic>
          </wp:inline>
        </w:drawing>
      </w:r>
    </w:p>
    <w:p w14:paraId="01294867" w14:textId="77777777" w:rsidR="00D728EF" w:rsidRDefault="00D728EF" w:rsidP="007F454C"/>
    <w:p w14:paraId="01294868" w14:textId="77777777" w:rsidR="007F454C" w:rsidRPr="007F454C" w:rsidRDefault="007F454C" w:rsidP="007F454C">
      <w:r>
        <w:t>The evaluation team then removed all data on and before the installation date and on and after the retrieval date</w:t>
      </w:r>
      <w:r w:rsidR="000766E1">
        <w:t xml:space="preserve"> and</w:t>
      </w:r>
      <w:r>
        <w:t xml:space="preserve"> converted the filtered logger data into percent “on” per hour for the logging time period. </w:t>
      </w:r>
      <w:r w:rsidR="000766E1">
        <w:t>For dual stage furnaces, because the low stage logger was also “on” when the furnace ran in high stage, Navigant subtracted the high stage operation time from the low stage operation time to determine the actual low stage operation time per hour. Navigant then converted the run time in each stage to actual gas consumption using the gas consumption spot measurements and Nicor Gas’ BTU Ratio.</w:t>
      </w:r>
      <w:r w:rsidR="00A52B37">
        <w:rPr>
          <w:rStyle w:val="FootnoteReference"/>
        </w:rPr>
        <w:footnoteReference w:id="9"/>
      </w:r>
      <w:r w:rsidR="000766E1">
        <w:t xml:space="preserve"> </w:t>
      </w:r>
    </w:p>
    <w:p w14:paraId="01294869" w14:textId="77777777" w:rsidR="00BD122A" w:rsidRPr="00BD122A" w:rsidRDefault="00BD122A" w:rsidP="00BD122A">
      <w:pPr>
        <w:pStyle w:val="Heading3"/>
      </w:pPr>
      <w:bookmarkStart w:id="25" w:name="_Toc363131915"/>
      <w:r>
        <w:t>Energy Model Development and Calibration</w:t>
      </w:r>
      <w:bookmarkEnd w:id="25"/>
    </w:p>
    <w:p w14:paraId="0129486A" w14:textId="77777777" w:rsidR="00BD122A" w:rsidRDefault="00BD122A" w:rsidP="00BD122A">
      <w:r>
        <w:t>Navigant used home characteristics details collected from the on-site sample to build an energy model in the Building Energy Optimization (BEopt) software developed by the National Renewable Energy Laboratory (NREL).</w:t>
      </w:r>
      <w:r>
        <w:rPr>
          <w:rStyle w:val="FootnoteReference"/>
        </w:rPr>
        <w:footnoteReference w:id="10"/>
      </w:r>
      <w:r>
        <w:t xml:space="preserve"> The purpose of the model was to more accurately extrapolate the billing data from the 2012-2013 heating season to a typical weather year. Navigant first built the model based on homes in the study and calibrated it such that the output aligned with the </w:t>
      </w:r>
      <w:r w:rsidR="00DF2649">
        <w:t xml:space="preserve">average consumption from the </w:t>
      </w:r>
      <w:r>
        <w:lastRenderedPageBreak/>
        <w:t>participant billing records when run with actual weather data from the recent heating season (to a difference of less than one percent).</w:t>
      </w:r>
      <w:r>
        <w:rPr>
          <w:rStyle w:val="FootnoteReference"/>
        </w:rPr>
        <w:footnoteReference w:id="11"/>
      </w:r>
      <w:r>
        <w:t xml:space="preserve"> Once the model was sufficiently calibrated, </w:t>
      </w:r>
      <w:r w:rsidR="00775BF6">
        <w:t xml:space="preserve">the analysis team </w:t>
      </w:r>
      <w:r>
        <w:t>ran the model using a Typical Meteorological Year (TMY</w:t>
      </w:r>
      <w:r w:rsidR="00A52B37">
        <w:t>3</w:t>
      </w:r>
      <w:r>
        <w:t>)</w:t>
      </w:r>
      <w:r w:rsidR="00DF2649">
        <w:t xml:space="preserve"> </w:t>
      </w:r>
      <w:r>
        <w:t>file from Chicago. TMY3 data represents typical weather patterns for the location.</w:t>
      </w:r>
      <w:r w:rsidR="007774CD">
        <w:t xml:space="preserve"> As shown in</w:t>
      </w:r>
      <w:r w:rsidR="00B34B4D">
        <w:t xml:space="preserve"> </w:t>
      </w:r>
      <w:r w:rsidR="00B34B4D">
        <w:fldChar w:fldCharType="begin"/>
      </w:r>
      <w:r w:rsidR="00B34B4D">
        <w:instrText xml:space="preserve"> REF _Ref362598916 \h </w:instrText>
      </w:r>
      <w:r w:rsidR="00B34B4D">
        <w:fldChar w:fldCharType="separate"/>
      </w:r>
      <w:r w:rsidR="00CF687B">
        <w:t xml:space="preserve">Figure </w:t>
      </w:r>
      <w:r w:rsidR="00CF687B">
        <w:rPr>
          <w:noProof/>
        </w:rPr>
        <w:t>1</w:t>
      </w:r>
      <w:r w:rsidR="00CF687B">
        <w:noBreakHyphen/>
      </w:r>
      <w:r w:rsidR="00CF687B">
        <w:rPr>
          <w:noProof/>
        </w:rPr>
        <w:t>4</w:t>
      </w:r>
      <w:r w:rsidR="00B34B4D">
        <w:fldChar w:fldCharType="end"/>
      </w:r>
      <w:r w:rsidR="00B34B4D">
        <w:t>, the shapes of the billing and modeled data sets are slightly different, but for the actual weather comparison the heating season totals differ by only 0.6% overall. The higher value of the TMY3 model output indicates that 2012-2013 was a warmer than average winter with lower heating usage</w:t>
      </w:r>
      <w:r w:rsidR="00B301EA">
        <w:t xml:space="preserve">. </w:t>
      </w:r>
      <w:r>
        <w:t xml:space="preserve"> </w:t>
      </w:r>
    </w:p>
    <w:p w14:paraId="0129486B" w14:textId="77777777" w:rsidR="00B34B4D" w:rsidRDefault="00E35EC8" w:rsidP="00BD122A">
      <w:r w:rsidRPr="00E35EC8">
        <w:rPr>
          <w:noProof/>
        </w:rPr>
        <w:t xml:space="preserve"> </w:t>
      </w:r>
    </w:p>
    <w:p w14:paraId="0129486C" w14:textId="77777777" w:rsidR="007D768C" w:rsidRDefault="00B34B4D" w:rsidP="003118F6">
      <w:pPr>
        <w:pStyle w:val="Caption"/>
        <w:keepLines/>
      </w:pPr>
      <w:bookmarkStart w:id="26" w:name="_Ref362598916"/>
      <w:bookmarkStart w:id="27" w:name="_Toc363131931"/>
      <w:r>
        <w:t xml:space="preserve">Figure </w:t>
      </w:r>
      <w:fldSimple w:instr=" STYLEREF 1 \s ">
        <w:r w:rsidR="00CF687B">
          <w:rPr>
            <w:noProof/>
          </w:rPr>
          <w:t>1</w:t>
        </w:r>
      </w:fldSimple>
      <w:r w:rsidR="00746B41">
        <w:noBreakHyphen/>
      </w:r>
      <w:fldSimple w:instr=" SEQ Figure \* ARABIC \s 1 ">
        <w:r w:rsidR="00CF687B">
          <w:rPr>
            <w:noProof/>
          </w:rPr>
          <w:t>4</w:t>
        </w:r>
      </w:fldSimple>
      <w:bookmarkEnd w:id="26"/>
      <w:r>
        <w:t>: Comparison of Heating and Total Therms Between Billing and Modeled Data</w:t>
      </w:r>
      <w:bookmarkEnd w:id="27"/>
    </w:p>
    <w:p w14:paraId="0129486D" w14:textId="77777777" w:rsidR="007D768C" w:rsidRDefault="007D768C" w:rsidP="001345D7">
      <w:pPr>
        <w:keepNext/>
        <w:keepLines/>
        <w:jc w:val="center"/>
      </w:pPr>
      <w:r>
        <w:rPr>
          <w:noProof/>
        </w:rPr>
        <w:drawing>
          <wp:inline distT="0" distB="0" distL="0" distR="0" wp14:anchorId="012949B8" wp14:editId="012949B9">
            <wp:extent cx="2989691" cy="1979875"/>
            <wp:effectExtent l="0" t="0" r="1270" b="1905"/>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Pr>
          <w:noProof/>
        </w:rPr>
        <w:drawing>
          <wp:inline distT="0" distB="0" distL="0" distR="0" wp14:anchorId="012949BA" wp14:editId="012949BB">
            <wp:extent cx="2870421" cy="2019631"/>
            <wp:effectExtent l="0" t="0" r="635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129486E" w14:textId="77777777" w:rsidR="007D768C" w:rsidRDefault="007D768C" w:rsidP="001345D7">
      <w:pPr>
        <w:keepNext/>
        <w:keepLines/>
        <w:jc w:val="center"/>
      </w:pPr>
      <w:r>
        <w:rPr>
          <w:noProof/>
        </w:rPr>
        <w:drawing>
          <wp:inline distT="0" distB="0" distL="0" distR="0" wp14:anchorId="012949BC" wp14:editId="012949BD">
            <wp:extent cx="4619708" cy="1995777"/>
            <wp:effectExtent l="0" t="0" r="0" b="5080"/>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0129486F" w14:textId="77777777" w:rsidR="007D768C" w:rsidRDefault="007D768C" w:rsidP="001345D7">
      <w:pPr>
        <w:keepNext/>
        <w:keepLines/>
        <w:jc w:val="center"/>
      </w:pPr>
    </w:p>
    <w:p w14:paraId="01294870" w14:textId="77777777" w:rsidR="00D75EFA" w:rsidRDefault="00D75EFA" w:rsidP="00D75EFA">
      <w:pPr>
        <w:pStyle w:val="Heading3"/>
      </w:pPr>
      <w:bookmarkStart w:id="28" w:name="_Toc363131916"/>
      <w:r>
        <w:t>Calculation of Final Results</w:t>
      </w:r>
      <w:bookmarkEnd w:id="28"/>
    </w:p>
    <w:p w14:paraId="01294871" w14:textId="77777777" w:rsidR="00B34B4D" w:rsidRPr="00D75EFA" w:rsidRDefault="00D75EFA" w:rsidP="00D75EFA">
      <w:r>
        <w:fldChar w:fldCharType="begin"/>
      </w:r>
      <w:r>
        <w:instrText xml:space="preserve"> REF _Ref362526037 \h </w:instrText>
      </w:r>
      <w:r>
        <w:fldChar w:fldCharType="separate"/>
      </w:r>
      <w:r w:rsidR="00CF687B">
        <w:t xml:space="preserve">Figure </w:t>
      </w:r>
      <w:r w:rsidR="00CF687B">
        <w:rPr>
          <w:noProof/>
        </w:rPr>
        <w:t>1</w:t>
      </w:r>
      <w:r w:rsidR="00CF687B">
        <w:noBreakHyphen/>
      </w:r>
      <w:r w:rsidR="00CF687B">
        <w:rPr>
          <w:noProof/>
        </w:rPr>
        <w:t>5</w:t>
      </w:r>
      <w:r>
        <w:fldChar w:fldCharType="end"/>
      </w:r>
      <w:r>
        <w:t xml:space="preserve"> illustrates the flow of data from each portion of the analysis into the final results. The final estimate of gas heating </w:t>
      </w:r>
      <w:r w:rsidR="0057769F">
        <w:t xml:space="preserve">consumption </w:t>
      </w:r>
      <w:r>
        <w:t xml:space="preserve">is the product of the typical year heating use (output from calibrated model) and the </w:t>
      </w:r>
      <w:r w:rsidR="00BC3638">
        <w:t xml:space="preserve">calculated ratio of the metered furnace heating use and </w:t>
      </w:r>
      <w:r>
        <w:t>billing data disaggregation heating use estimates</w:t>
      </w:r>
      <w:r w:rsidR="00BC3638">
        <w:t xml:space="preserve">. This ratio was calculated </w:t>
      </w:r>
      <w:r w:rsidR="0088462B">
        <w:t>using data from</w:t>
      </w:r>
      <w:r w:rsidR="00BC3638">
        <w:t xml:space="preserve"> the </w:t>
      </w:r>
      <w:r w:rsidR="0088462B">
        <w:t xml:space="preserve">five </w:t>
      </w:r>
      <w:r w:rsidR="00BC3638">
        <w:t>full months spanned by the metering period (December 2012 through April 2013).</w:t>
      </w:r>
      <w:r w:rsidR="00BC3638">
        <w:rPr>
          <w:rStyle w:val="FootnoteReference"/>
        </w:rPr>
        <w:footnoteReference w:id="12"/>
      </w:r>
      <w:r w:rsidR="0057769F">
        <w:t xml:space="preserve"> </w:t>
      </w:r>
    </w:p>
    <w:p w14:paraId="01294872" w14:textId="77777777" w:rsidR="00D75EFA" w:rsidRDefault="00D75EFA" w:rsidP="00D75EFA">
      <w:pPr>
        <w:pStyle w:val="Caption"/>
      </w:pPr>
      <w:bookmarkStart w:id="29" w:name="_Ref362526037"/>
      <w:bookmarkStart w:id="30" w:name="_Toc363131932"/>
      <w:r>
        <w:lastRenderedPageBreak/>
        <w:t xml:space="preserve">Figure </w:t>
      </w:r>
      <w:fldSimple w:instr=" STYLEREF 1 \s ">
        <w:r w:rsidR="00CF687B">
          <w:rPr>
            <w:noProof/>
          </w:rPr>
          <w:t>1</w:t>
        </w:r>
      </w:fldSimple>
      <w:r w:rsidR="00746B41">
        <w:noBreakHyphen/>
      </w:r>
      <w:fldSimple w:instr=" SEQ Figure \* ARABIC \s 1 ">
        <w:r w:rsidR="00CF687B">
          <w:rPr>
            <w:noProof/>
          </w:rPr>
          <w:t>5</w:t>
        </w:r>
      </w:fldSimple>
      <w:bookmarkEnd w:id="29"/>
      <w:r>
        <w:t>: Illustration of Results Roll-up</w:t>
      </w:r>
      <w:bookmarkEnd w:id="30"/>
    </w:p>
    <w:p w14:paraId="01294873" w14:textId="77777777" w:rsidR="00D75EFA" w:rsidRDefault="0057769F" w:rsidP="00D75EFA">
      <w:r>
        <w:object w:dxaOrig="12303" w:dyaOrig="9609" w14:anchorId="012949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7.55pt;height:334.2pt" o:ole="">
            <v:imagedata r:id="rId29" o:title=""/>
          </v:shape>
          <o:OLEObject Type="Embed" ProgID="Visio.Drawing.11" ShapeID="_x0000_i1025" DrawAspect="Content" ObjectID="_1445239633" r:id="rId30"/>
        </w:object>
      </w:r>
    </w:p>
    <w:p w14:paraId="01294874" w14:textId="77777777" w:rsidR="00341F22" w:rsidRDefault="0088462B" w:rsidP="0088462B">
      <w:pPr>
        <w:sectPr w:rsidR="00341F22">
          <w:pgSz w:w="12240" w:h="15840"/>
          <w:pgMar w:top="1440" w:right="1440" w:bottom="1440" w:left="1440" w:header="720" w:footer="720" w:gutter="0"/>
          <w:cols w:space="720"/>
          <w:docGrid w:linePitch="360"/>
        </w:sectPr>
      </w:pPr>
      <w:r>
        <w:t xml:space="preserve">Navigant then calculated site-level heating loads by multiplying the final estimates of heat use for each home by its rated furnace AFUE. </w:t>
      </w:r>
    </w:p>
    <w:p w14:paraId="01294875" w14:textId="77777777" w:rsidR="00AE0D1A" w:rsidRPr="00341F22" w:rsidRDefault="00BD122A" w:rsidP="00341F22">
      <w:pPr>
        <w:pStyle w:val="Heading1"/>
      </w:pPr>
      <w:bookmarkStart w:id="31" w:name="_Toc363131917"/>
      <w:r w:rsidRPr="00341F22">
        <w:lastRenderedPageBreak/>
        <w:t>Research</w:t>
      </w:r>
      <w:r w:rsidR="00AE0D1A" w:rsidRPr="00341F22">
        <w:t xml:space="preserve"> Results</w:t>
      </w:r>
      <w:bookmarkEnd w:id="31"/>
      <w:r w:rsidR="001345D7" w:rsidRPr="00341F22">
        <w:t xml:space="preserve"> </w:t>
      </w:r>
    </w:p>
    <w:p w14:paraId="01294876" w14:textId="77777777" w:rsidR="00AE0D1A" w:rsidRDefault="00E8256E" w:rsidP="00AE0D1A">
      <w:r>
        <w:fldChar w:fldCharType="begin"/>
      </w:r>
      <w:r>
        <w:instrText xml:space="preserve"> REF _Ref362601495 \h </w:instrText>
      </w:r>
      <w:r>
        <w:fldChar w:fldCharType="separate"/>
      </w:r>
      <w:r w:rsidR="00CF687B">
        <w:t xml:space="preserve">Table </w:t>
      </w:r>
      <w:r w:rsidR="00CF687B">
        <w:rPr>
          <w:noProof/>
        </w:rPr>
        <w:t>2</w:t>
      </w:r>
      <w:r w:rsidR="00CF687B">
        <w:noBreakHyphen/>
      </w:r>
      <w:r w:rsidR="00CF687B">
        <w:rPr>
          <w:noProof/>
        </w:rPr>
        <w:t>1</w:t>
      </w:r>
      <w:r>
        <w:fldChar w:fldCharType="end"/>
      </w:r>
      <w:r w:rsidR="00D367FE">
        <w:t xml:space="preserve"> shows the final results of the study for gas heating load and therm savings</w:t>
      </w:r>
      <w:r>
        <w:t xml:space="preserve">. </w:t>
      </w:r>
      <w:r w:rsidR="00D367FE">
        <w:t>The team achieved an overall relative precision of 7.7% at 90% confidence using the double-ratio approach.</w:t>
      </w:r>
      <w:r w:rsidR="00D367FE">
        <w:rPr>
          <w:rStyle w:val="FootnoteReference"/>
        </w:rPr>
        <w:footnoteReference w:id="13"/>
      </w:r>
      <w:r w:rsidR="00D367FE">
        <w:t xml:space="preserve"> These </w:t>
      </w:r>
      <w:r w:rsidR="001A24C9">
        <w:t>final result</w:t>
      </w:r>
      <w:r w:rsidR="00D367FE">
        <w:t>s</w:t>
      </w:r>
      <w:r w:rsidR="001A24C9">
        <w:t xml:space="preserve"> yielded average savings of 16</w:t>
      </w:r>
      <w:r w:rsidR="00E96A95">
        <w:t>6</w:t>
      </w:r>
      <w:r w:rsidR="001A24C9">
        <w:t xml:space="preserve"> therms given a baseline of 80% AFUE and average rated AFUE of 95.1%. </w:t>
      </w:r>
    </w:p>
    <w:p w14:paraId="01294877" w14:textId="77777777" w:rsidR="00AE0D1A" w:rsidRDefault="00AE0D1A" w:rsidP="00AE0D1A"/>
    <w:p w14:paraId="01294878" w14:textId="77777777" w:rsidR="00E8256E" w:rsidRDefault="00E8256E" w:rsidP="00E8256E">
      <w:pPr>
        <w:pStyle w:val="Caption"/>
      </w:pPr>
      <w:bookmarkStart w:id="32" w:name="_Ref362601495"/>
      <w:bookmarkStart w:id="33" w:name="_Toc363131938"/>
      <w:r>
        <w:t xml:space="preserve">Table </w:t>
      </w:r>
      <w:fldSimple w:instr=" STYLEREF 1 \s ">
        <w:r w:rsidR="00CF687B">
          <w:rPr>
            <w:noProof/>
          </w:rPr>
          <w:t>2</w:t>
        </w:r>
      </w:fldSimple>
      <w:r w:rsidR="00375470">
        <w:noBreakHyphen/>
      </w:r>
      <w:fldSimple w:instr=" SEQ Table \* ARABIC \s 1 ">
        <w:r w:rsidR="00CF687B">
          <w:rPr>
            <w:noProof/>
          </w:rPr>
          <w:t>1</w:t>
        </w:r>
      </w:fldSimple>
      <w:bookmarkEnd w:id="32"/>
      <w:r>
        <w:t>: Final Results and Statistics</w:t>
      </w:r>
      <w:bookmarkEnd w:id="33"/>
    </w:p>
    <w:tbl>
      <w:tblPr>
        <w:tblStyle w:val="EnergyPracticeTable"/>
        <w:tblW w:w="9641" w:type="dxa"/>
        <w:tblLook w:val="04A0" w:firstRow="1" w:lastRow="0" w:firstColumn="1" w:lastColumn="0" w:noHBand="0" w:noVBand="1"/>
      </w:tblPr>
      <w:tblGrid>
        <w:gridCol w:w="3168"/>
        <w:gridCol w:w="839"/>
        <w:gridCol w:w="702"/>
        <w:gridCol w:w="1789"/>
        <w:gridCol w:w="3143"/>
      </w:tblGrid>
      <w:tr w:rsidR="001A24C9" w:rsidRPr="00020F92" w14:paraId="0129487E" w14:textId="77777777" w:rsidTr="001A24C9">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3168" w:type="dxa"/>
            <w:vAlign w:val="center"/>
            <w:hideMark/>
          </w:tcPr>
          <w:p w14:paraId="01294879" w14:textId="77777777" w:rsidR="001A24C9" w:rsidRPr="00020F92" w:rsidRDefault="001A24C9" w:rsidP="001A24C9">
            <w:pPr>
              <w:keepNext/>
              <w:keepLines/>
              <w:tabs>
                <w:tab w:val="clear" w:pos="720"/>
              </w:tabs>
              <w:spacing w:afterAutospacing="0"/>
              <w:rPr>
                <w:rFonts w:cs="Arial"/>
                <w:bCs/>
                <w:szCs w:val="20"/>
              </w:rPr>
            </w:pPr>
            <w:bookmarkStart w:id="34" w:name="RANGE!L36"/>
            <w:r w:rsidRPr="00020F92">
              <w:rPr>
                <w:rFonts w:cs="Arial"/>
                <w:bCs/>
                <w:szCs w:val="20"/>
              </w:rPr>
              <w:t>Metric</w:t>
            </w:r>
            <w:bookmarkEnd w:id="34"/>
          </w:p>
        </w:tc>
        <w:tc>
          <w:tcPr>
            <w:tcW w:w="839" w:type="dxa"/>
            <w:vAlign w:val="center"/>
            <w:hideMark/>
          </w:tcPr>
          <w:p w14:paraId="0129487A" w14:textId="77777777" w:rsidR="001A24C9" w:rsidRPr="00020F92" w:rsidRDefault="001A24C9" w:rsidP="001A24C9">
            <w:pPr>
              <w:keepNext/>
              <w:keepLines/>
              <w:tabs>
                <w:tab w:val="clear" w:pos="720"/>
              </w:tabs>
              <w:spacing w:afterAutospacing="0"/>
              <w:cnfStyle w:val="100000000000" w:firstRow="1" w:lastRow="0" w:firstColumn="0" w:lastColumn="0" w:oddVBand="0" w:evenVBand="0" w:oddHBand="0" w:evenHBand="0" w:firstRowFirstColumn="0" w:firstRowLastColumn="0" w:lastRowFirstColumn="0" w:lastRowLastColumn="0"/>
              <w:rPr>
                <w:rFonts w:cs="Arial"/>
                <w:bCs/>
                <w:szCs w:val="20"/>
              </w:rPr>
            </w:pPr>
            <w:r w:rsidRPr="00020F92">
              <w:rPr>
                <w:rFonts w:cs="Arial"/>
                <w:bCs/>
                <w:szCs w:val="20"/>
              </w:rPr>
              <w:t>Mean</w:t>
            </w:r>
          </w:p>
        </w:tc>
        <w:tc>
          <w:tcPr>
            <w:tcW w:w="702" w:type="dxa"/>
            <w:vAlign w:val="center"/>
          </w:tcPr>
          <w:p w14:paraId="0129487B" w14:textId="77777777" w:rsidR="001A24C9" w:rsidRPr="001A24C9" w:rsidRDefault="001A24C9" w:rsidP="001A24C9">
            <w:pPr>
              <w:keepNext/>
              <w:keepLines/>
              <w:tabs>
                <w:tab w:val="clear" w:pos="720"/>
              </w:tabs>
              <w:spacing w:afterAutospacing="0"/>
              <w:cnfStyle w:val="100000000000" w:firstRow="1" w:lastRow="0" w:firstColumn="0" w:lastColumn="0" w:oddVBand="0" w:evenVBand="0" w:oddHBand="0" w:evenHBand="0" w:firstRowFirstColumn="0" w:firstRowLastColumn="0" w:lastRowFirstColumn="0" w:lastRowLastColumn="0"/>
              <w:rPr>
                <w:rFonts w:cs="Arial"/>
                <w:bCs/>
                <w:szCs w:val="20"/>
              </w:rPr>
            </w:pPr>
            <w:r w:rsidRPr="001A24C9">
              <w:rPr>
                <w:rFonts w:cs="Arial"/>
                <w:bCs/>
                <w:szCs w:val="20"/>
              </w:rPr>
              <w:t>N</w:t>
            </w:r>
          </w:p>
        </w:tc>
        <w:tc>
          <w:tcPr>
            <w:tcW w:w="1789" w:type="dxa"/>
            <w:vAlign w:val="center"/>
          </w:tcPr>
          <w:p w14:paraId="0129487C" w14:textId="77777777" w:rsidR="001A24C9" w:rsidRPr="00020F92" w:rsidRDefault="001A24C9" w:rsidP="001A24C9">
            <w:pPr>
              <w:keepNext/>
              <w:keepLines/>
              <w:tabs>
                <w:tab w:val="clear" w:pos="720"/>
              </w:tabs>
              <w:spacing w:afterAutospacing="0"/>
              <w:cnfStyle w:val="100000000000" w:firstRow="1" w:lastRow="0" w:firstColumn="0" w:lastColumn="0" w:oddVBand="0" w:evenVBand="0" w:oddHBand="0" w:evenHBand="0" w:firstRowFirstColumn="0" w:firstRowLastColumn="0" w:lastRowFirstColumn="0" w:lastRowLastColumn="0"/>
              <w:rPr>
                <w:rFonts w:cs="Arial"/>
                <w:bCs/>
                <w:szCs w:val="20"/>
              </w:rPr>
            </w:pPr>
            <w:r w:rsidRPr="00020F92">
              <w:rPr>
                <w:rFonts w:cs="Arial"/>
                <w:bCs/>
                <w:szCs w:val="20"/>
              </w:rPr>
              <w:t>Rel</w:t>
            </w:r>
            <w:r>
              <w:rPr>
                <w:rFonts w:cs="Arial"/>
                <w:bCs/>
                <w:szCs w:val="20"/>
              </w:rPr>
              <w:t xml:space="preserve">. </w:t>
            </w:r>
            <w:r w:rsidRPr="00020F92">
              <w:rPr>
                <w:rFonts w:cs="Arial"/>
                <w:bCs/>
                <w:szCs w:val="20"/>
              </w:rPr>
              <w:t>Precision at 90% Confidence</w:t>
            </w:r>
          </w:p>
        </w:tc>
        <w:tc>
          <w:tcPr>
            <w:tcW w:w="3143" w:type="dxa"/>
            <w:vAlign w:val="center"/>
          </w:tcPr>
          <w:p w14:paraId="0129487D" w14:textId="77777777" w:rsidR="001A24C9" w:rsidRPr="001A24C9" w:rsidRDefault="001A24C9" w:rsidP="001A24C9">
            <w:pPr>
              <w:keepNext/>
              <w:keepLines/>
              <w:tabs>
                <w:tab w:val="clear" w:pos="720"/>
              </w:tabs>
              <w:spacing w:afterAutospacing="0"/>
              <w:cnfStyle w:val="100000000000" w:firstRow="1" w:lastRow="0" w:firstColumn="0" w:lastColumn="0" w:oddVBand="0" w:evenVBand="0" w:oddHBand="0" w:evenHBand="0" w:firstRowFirstColumn="0" w:firstRowLastColumn="0" w:lastRowFirstColumn="0" w:lastRowLastColumn="0"/>
              <w:rPr>
                <w:rFonts w:cs="Arial"/>
                <w:bCs/>
                <w:szCs w:val="20"/>
              </w:rPr>
            </w:pPr>
            <w:r w:rsidRPr="001A24C9">
              <w:rPr>
                <w:rFonts w:cs="Arial"/>
                <w:bCs/>
                <w:szCs w:val="20"/>
              </w:rPr>
              <w:t>Description</w:t>
            </w:r>
          </w:p>
        </w:tc>
      </w:tr>
      <w:tr w:rsidR="001A24C9" w:rsidRPr="00020F92" w14:paraId="01294884" w14:textId="77777777" w:rsidTr="001A24C9">
        <w:trPr>
          <w:trHeight w:val="540"/>
        </w:trPr>
        <w:tc>
          <w:tcPr>
            <w:cnfStyle w:val="001000000000" w:firstRow="0" w:lastRow="0" w:firstColumn="1" w:lastColumn="0" w:oddVBand="0" w:evenVBand="0" w:oddHBand="0" w:evenHBand="0" w:firstRowFirstColumn="0" w:firstRowLastColumn="0" w:lastRowFirstColumn="0" w:lastRowLastColumn="0"/>
            <w:tcW w:w="3168" w:type="dxa"/>
            <w:noWrap/>
            <w:hideMark/>
          </w:tcPr>
          <w:p w14:paraId="0129487F" w14:textId="77777777" w:rsidR="001A24C9" w:rsidRPr="00020F92" w:rsidRDefault="001A24C9" w:rsidP="001A24C9">
            <w:pPr>
              <w:keepNext/>
              <w:keepLines/>
              <w:tabs>
                <w:tab w:val="clear" w:pos="720"/>
              </w:tabs>
              <w:spacing w:beforeAutospacing="0" w:afterAutospacing="0"/>
              <w:rPr>
                <w:rFonts w:cs="Arial"/>
                <w:szCs w:val="20"/>
              </w:rPr>
            </w:pPr>
            <w:r w:rsidRPr="00020F92">
              <w:rPr>
                <w:rFonts w:cs="Arial"/>
                <w:szCs w:val="20"/>
              </w:rPr>
              <w:t>2012-2013 Heating Load, Billed</w:t>
            </w:r>
          </w:p>
        </w:tc>
        <w:tc>
          <w:tcPr>
            <w:tcW w:w="839" w:type="dxa"/>
            <w:noWrap/>
            <w:hideMark/>
          </w:tcPr>
          <w:p w14:paraId="01294880" w14:textId="77777777" w:rsidR="001A24C9" w:rsidRPr="00020F92" w:rsidRDefault="001A24C9" w:rsidP="001A24C9">
            <w:pPr>
              <w:keepNext/>
              <w:keepLines/>
              <w:tabs>
                <w:tab w:val="clear" w:pos="720"/>
              </w:tabs>
              <w:cnfStyle w:val="000000000000" w:firstRow="0" w:lastRow="0" w:firstColumn="0" w:lastColumn="0" w:oddVBand="0" w:evenVBand="0" w:oddHBand="0" w:evenHBand="0" w:firstRowFirstColumn="0" w:firstRowLastColumn="0" w:lastRowFirstColumn="0" w:lastRowLastColumn="0"/>
              <w:rPr>
                <w:rFonts w:cs="Arial"/>
                <w:szCs w:val="20"/>
              </w:rPr>
            </w:pPr>
            <w:r w:rsidRPr="00020F92">
              <w:rPr>
                <w:rFonts w:cs="Arial"/>
                <w:szCs w:val="20"/>
              </w:rPr>
              <w:t>854</w:t>
            </w:r>
          </w:p>
        </w:tc>
        <w:tc>
          <w:tcPr>
            <w:tcW w:w="702" w:type="dxa"/>
          </w:tcPr>
          <w:p w14:paraId="01294881" w14:textId="77777777" w:rsidR="001A24C9" w:rsidRPr="00020F92" w:rsidRDefault="001A24C9" w:rsidP="001A24C9">
            <w:pPr>
              <w:keepNext/>
              <w:keepLines/>
              <w:tabs>
                <w:tab w:val="clear" w:pos="720"/>
              </w:tabs>
              <w:cnfStyle w:val="000000000000" w:firstRow="0" w:lastRow="0" w:firstColumn="0" w:lastColumn="0" w:oddVBand="0" w:evenVBand="0" w:oddHBand="0" w:evenHBand="0" w:firstRowFirstColumn="0" w:firstRowLastColumn="0" w:lastRowFirstColumn="0" w:lastRowLastColumn="0"/>
              <w:rPr>
                <w:rFonts w:cs="Arial"/>
                <w:szCs w:val="20"/>
              </w:rPr>
            </w:pPr>
            <w:r>
              <w:rPr>
                <w:rFonts w:cs="Arial"/>
                <w:szCs w:val="20"/>
              </w:rPr>
              <w:t>380</w:t>
            </w:r>
          </w:p>
        </w:tc>
        <w:tc>
          <w:tcPr>
            <w:tcW w:w="1789" w:type="dxa"/>
          </w:tcPr>
          <w:p w14:paraId="01294882" w14:textId="77777777" w:rsidR="001A24C9" w:rsidRPr="00020F92" w:rsidRDefault="001A24C9" w:rsidP="001A24C9">
            <w:pPr>
              <w:keepNext/>
              <w:keepLines/>
              <w:cnfStyle w:val="000000000000" w:firstRow="0" w:lastRow="0" w:firstColumn="0" w:lastColumn="0" w:oddVBand="0" w:evenVBand="0" w:oddHBand="0" w:evenHBand="0" w:firstRowFirstColumn="0" w:firstRowLastColumn="0" w:lastRowFirstColumn="0" w:lastRowLastColumn="0"/>
              <w:rPr>
                <w:rFonts w:cs="Arial"/>
                <w:szCs w:val="20"/>
              </w:rPr>
            </w:pPr>
            <w:r w:rsidRPr="00020F92">
              <w:rPr>
                <w:rFonts w:cs="Arial"/>
                <w:szCs w:val="20"/>
              </w:rPr>
              <w:t>3.5%</w:t>
            </w:r>
          </w:p>
        </w:tc>
        <w:tc>
          <w:tcPr>
            <w:tcW w:w="3143" w:type="dxa"/>
          </w:tcPr>
          <w:p w14:paraId="01294883" w14:textId="77777777" w:rsidR="001A24C9" w:rsidRPr="00020F92" w:rsidRDefault="001A24C9" w:rsidP="00515924">
            <w:pPr>
              <w:keepNext/>
              <w:keepLines/>
              <w:tabs>
                <w:tab w:val="clear" w:pos="720"/>
              </w:tabs>
              <w:jc w:val="left"/>
              <w:cnfStyle w:val="000000000000" w:firstRow="0" w:lastRow="0" w:firstColumn="0" w:lastColumn="0" w:oddVBand="0" w:evenVBand="0" w:oddHBand="0" w:evenHBand="0" w:firstRowFirstColumn="0" w:firstRowLastColumn="0" w:lastRowFirstColumn="0" w:lastRowLastColumn="0"/>
              <w:rPr>
                <w:rFonts w:cs="Arial"/>
                <w:szCs w:val="20"/>
              </w:rPr>
            </w:pPr>
            <w:r>
              <w:rPr>
                <w:rFonts w:cs="Arial"/>
                <w:szCs w:val="20"/>
              </w:rPr>
              <w:t xml:space="preserve">Mean of site level 2012-2013 heating </w:t>
            </w:r>
            <w:r w:rsidR="00515924">
              <w:rPr>
                <w:rFonts w:cs="Arial"/>
                <w:szCs w:val="20"/>
              </w:rPr>
              <w:t>therms</w:t>
            </w:r>
            <w:r>
              <w:rPr>
                <w:rFonts w:cs="Arial"/>
                <w:szCs w:val="20"/>
              </w:rPr>
              <w:t>, multiplied by site AFUE</w:t>
            </w:r>
          </w:p>
        </w:tc>
      </w:tr>
      <w:tr w:rsidR="001A24C9" w:rsidRPr="00020F92" w14:paraId="0129488A" w14:textId="77777777" w:rsidTr="001A24C9">
        <w:trPr>
          <w:trHeight w:val="540"/>
        </w:trPr>
        <w:tc>
          <w:tcPr>
            <w:cnfStyle w:val="001000000000" w:firstRow="0" w:lastRow="0" w:firstColumn="1" w:lastColumn="0" w:oddVBand="0" w:evenVBand="0" w:oddHBand="0" w:evenHBand="0" w:firstRowFirstColumn="0" w:firstRowLastColumn="0" w:lastRowFirstColumn="0" w:lastRowLastColumn="0"/>
            <w:tcW w:w="3168" w:type="dxa"/>
            <w:noWrap/>
            <w:hideMark/>
          </w:tcPr>
          <w:p w14:paraId="01294885" w14:textId="77777777" w:rsidR="001A24C9" w:rsidRPr="00020F92" w:rsidRDefault="001A24C9" w:rsidP="001A24C9">
            <w:pPr>
              <w:keepNext/>
              <w:keepLines/>
              <w:tabs>
                <w:tab w:val="clear" w:pos="720"/>
              </w:tabs>
              <w:spacing w:beforeAutospacing="0" w:afterAutospacing="0"/>
              <w:rPr>
                <w:rFonts w:cs="Arial"/>
                <w:szCs w:val="20"/>
              </w:rPr>
            </w:pPr>
            <w:r w:rsidRPr="00020F92">
              <w:rPr>
                <w:rFonts w:cs="Arial"/>
                <w:szCs w:val="20"/>
              </w:rPr>
              <w:t>Ratio of Metered to Billed</w:t>
            </w:r>
            <w:r w:rsidR="007144D6">
              <w:rPr>
                <w:rFonts w:cs="Arial"/>
                <w:szCs w:val="20"/>
              </w:rPr>
              <w:t xml:space="preserve"> Use</w:t>
            </w:r>
          </w:p>
        </w:tc>
        <w:tc>
          <w:tcPr>
            <w:tcW w:w="839" w:type="dxa"/>
            <w:noWrap/>
            <w:hideMark/>
          </w:tcPr>
          <w:p w14:paraId="01294886" w14:textId="77777777" w:rsidR="001A24C9" w:rsidRPr="00020F92" w:rsidRDefault="001A24C9" w:rsidP="001A24C9">
            <w:pPr>
              <w:keepNext/>
              <w:keepLines/>
              <w:tabs>
                <w:tab w:val="clear" w:pos="720"/>
              </w:tabs>
              <w:cnfStyle w:val="000000000000" w:firstRow="0" w:lastRow="0" w:firstColumn="0" w:lastColumn="0" w:oddVBand="0" w:evenVBand="0" w:oddHBand="0" w:evenHBand="0" w:firstRowFirstColumn="0" w:firstRowLastColumn="0" w:lastRowFirstColumn="0" w:lastRowLastColumn="0"/>
              <w:rPr>
                <w:rFonts w:cs="Arial"/>
                <w:szCs w:val="20"/>
              </w:rPr>
            </w:pPr>
            <w:r w:rsidRPr="00020F92">
              <w:rPr>
                <w:rFonts w:cs="Arial"/>
                <w:szCs w:val="20"/>
              </w:rPr>
              <w:t>0.9</w:t>
            </w:r>
            <w:r w:rsidR="003F511B">
              <w:rPr>
                <w:rFonts w:cs="Arial"/>
                <w:szCs w:val="20"/>
              </w:rPr>
              <w:t>1</w:t>
            </w:r>
          </w:p>
        </w:tc>
        <w:tc>
          <w:tcPr>
            <w:tcW w:w="702" w:type="dxa"/>
          </w:tcPr>
          <w:p w14:paraId="01294887" w14:textId="77777777" w:rsidR="001A24C9" w:rsidRPr="00020F92" w:rsidRDefault="001A24C9" w:rsidP="001A24C9">
            <w:pPr>
              <w:keepNext/>
              <w:keepLines/>
              <w:tabs>
                <w:tab w:val="clear" w:pos="720"/>
              </w:tabs>
              <w:cnfStyle w:val="000000000000" w:firstRow="0" w:lastRow="0" w:firstColumn="0" w:lastColumn="0" w:oddVBand="0" w:evenVBand="0" w:oddHBand="0" w:evenHBand="0" w:firstRowFirstColumn="0" w:firstRowLastColumn="0" w:lastRowFirstColumn="0" w:lastRowLastColumn="0"/>
              <w:rPr>
                <w:rFonts w:cs="Arial"/>
                <w:szCs w:val="20"/>
              </w:rPr>
            </w:pPr>
            <w:r>
              <w:rPr>
                <w:rFonts w:cs="Arial"/>
                <w:szCs w:val="20"/>
              </w:rPr>
              <w:t>39</w:t>
            </w:r>
          </w:p>
        </w:tc>
        <w:tc>
          <w:tcPr>
            <w:tcW w:w="1789" w:type="dxa"/>
          </w:tcPr>
          <w:p w14:paraId="01294888" w14:textId="77777777" w:rsidR="001A24C9" w:rsidRPr="00020F92" w:rsidRDefault="003F511B" w:rsidP="001A24C9">
            <w:pPr>
              <w:keepNext/>
              <w:keepLines/>
              <w:cnfStyle w:val="000000000000" w:firstRow="0" w:lastRow="0" w:firstColumn="0" w:lastColumn="0" w:oddVBand="0" w:evenVBand="0" w:oddHBand="0" w:evenHBand="0" w:firstRowFirstColumn="0" w:firstRowLastColumn="0" w:lastRowFirstColumn="0" w:lastRowLastColumn="0"/>
              <w:rPr>
                <w:rFonts w:cs="Arial"/>
                <w:szCs w:val="20"/>
              </w:rPr>
            </w:pPr>
            <w:r>
              <w:rPr>
                <w:rFonts w:cs="Arial"/>
                <w:szCs w:val="20"/>
              </w:rPr>
              <w:t>6.8</w:t>
            </w:r>
            <w:r w:rsidR="001A24C9" w:rsidRPr="00020F92">
              <w:rPr>
                <w:rFonts w:cs="Arial"/>
                <w:szCs w:val="20"/>
              </w:rPr>
              <w:t>%</w:t>
            </w:r>
          </w:p>
        </w:tc>
        <w:tc>
          <w:tcPr>
            <w:tcW w:w="3143" w:type="dxa"/>
          </w:tcPr>
          <w:p w14:paraId="01294889" w14:textId="77777777" w:rsidR="001A24C9" w:rsidRPr="00020F92" w:rsidRDefault="001A24C9" w:rsidP="001A24C9">
            <w:pPr>
              <w:keepNext/>
              <w:keepLines/>
              <w:tabs>
                <w:tab w:val="clear" w:pos="720"/>
              </w:tabs>
              <w:jc w:val="left"/>
              <w:cnfStyle w:val="000000000000" w:firstRow="0" w:lastRow="0" w:firstColumn="0" w:lastColumn="0" w:oddVBand="0" w:evenVBand="0" w:oddHBand="0" w:evenHBand="0" w:firstRowFirstColumn="0" w:firstRowLastColumn="0" w:lastRowFirstColumn="0" w:lastRowLastColumn="0"/>
              <w:rPr>
                <w:rFonts w:cs="Arial"/>
                <w:szCs w:val="20"/>
              </w:rPr>
            </w:pPr>
            <w:r>
              <w:rPr>
                <w:rFonts w:cs="Arial"/>
                <w:szCs w:val="20"/>
              </w:rPr>
              <w:t xml:space="preserve">Mean ratio of metered 2012-2013 </w:t>
            </w:r>
            <w:r w:rsidR="003F511B">
              <w:rPr>
                <w:rFonts w:cs="Arial"/>
                <w:szCs w:val="20"/>
              </w:rPr>
              <w:t xml:space="preserve">therm </w:t>
            </w:r>
            <w:r>
              <w:rPr>
                <w:rFonts w:cs="Arial"/>
                <w:szCs w:val="20"/>
              </w:rPr>
              <w:t xml:space="preserve">use to disaggregated billing data </w:t>
            </w:r>
            <w:r w:rsidR="00515924">
              <w:rPr>
                <w:rFonts w:cs="Arial"/>
                <w:szCs w:val="20"/>
              </w:rPr>
              <w:t xml:space="preserve">therm use </w:t>
            </w:r>
            <w:r>
              <w:rPr>
                <w:rFonts w:cs="Arial"/>
                <w:szCs w:val="20"/>
              </w:rPr>
              <w:t>for the same period</w:t>
            </w:r>
          </w:p>
        </w:tc>
      </w:tr>
      <w:tr w:rsidR="001A24C9" w:rsidRPr="00020F92" w14:paraId="01294891" w14:textId="77777777" w:rsidTr="001A24C9">
        <w:trPr>
          <w:trHeight w:val="540"/>
        </w:trPr>
        <w:tc>
          <w:tcPr>
            <w:cnfStyle w:val="001000000000" w:firstRow="0" w:lastRow="0" w:firstColumn="1" w:lastColumn="0" w:oddVBand="0" w:evenVBand="0" w:oddHBand="0" w:evenHBand="0" w:firstRowFirstColumn="0" w:firstRowLastColumn="0" w:lastRowFirstColumn="0" w:lastRowLastColumn="0"/>
            <w:tcW w:w="3168" w:type="dxa"/>
            <w:hideMark/>
          </w:tcPr>
          <w:p w14:paraId="0129488B" w14:textId="77777777" w:rsidR="001A24C9" w:rsidRDefault="001A24C9" w:rsidP="001A24C9">
            <w:pPr>
              <w:keepNext/>
              <w:keepLines/>
              <w:tabs>
                <w:tab w:val="clear" w:pos="720"/>
              </w:tabs>
              <w:spacing w:beforeAutospacing="0" w:afterAutospacing="0"/>
              <w:rPr>
                <w:rFonts w:cs="Arial"/>
                <w:szCs w:val="20"/>
              </w:rPr>
            </w:pPr>
            <w:r w:rsidRPr="00020F92">
              <w:rPr>
                <w:rFonts w:cs="Arial"/>
                <w:szCs w:val="20"/>
              </w:rPr>
              <w:t xml:space="preserve">Typical Year Heating Load </w:t>
            </w:r>
          </w:p>
          <w:p w14:paraId="0129488C" w14:textId="77777777" w:rsidR="001A24C9" w:rsidRPr="00020F92" w:rsidRDefault="001A24C9" w:rsidP="001A24C9">
            <w:pPr>
              <w:keepNext/>
              <w:keepLines/>
              <w:tabs>
                <w:tab w:val="clear" w:pos="720"/>
              </w:tabs>
              <w:spacing w:beforeAutospacing="0" w:afterAutospacing="0"/>
              <w:rPr>
                <w:rFonts w:cs="Arial"/>
                <w:szCs w:val="20"/>
              </w:rPr>
            </w:pPr>
            <w:r w:rsidRPr="00020F92">
              <w:rPr>
                <w:rFonts w:cs="Arial"/>
                <w:szCs w:val="20"/>
              </w:rPr>
              <w:t>(Model Extrapolated from Billed)</w:t>
            </w:r>
            <w:r w:rsidR="0088462B">
              <w:rPr>
                <w:rStyle w:val="FootnoteReference"/>
                <w:rFonts w:cs="Arial"/>
                <w:szCs w:val="20"/>
              </w:rPr>
              <w:footnoteReference w:id="14"/>
            </w:r>
          </w:p>
        </w:tc>
        <w:tc>
          <w:tcPr>
            <w:tcW w:w="839" w:type="dxa"/>
            <w:noWrap/>
            <w:hideMark/>
          </w:tcPr>
          <w:p w14:paraId="0129488D" w14:textId="77777777" w:rsidR="001A24C9" w:rsidRPr="00020F92" w:rsidRDefault="001A24C9" w:rsidP="001A24C9">
            <w:pPr>
              <w:keepNext/>
              <w:keepLines/>
              <w:tabs>
                <w:tab w:val="clear" w:pos="720"/>
              </w:tabs>
              <w:cnfStyle w:val="000000000000" w:firstRow="0" w:lastRow="0" w:firstColumn="0" w:lastColumn="0" w:oddVBand="0" w:evenVBand="0" w:oddHBand="0" w:evenHBand="0" w:firstRowFirstColumn="0" w:firstRowLastColumn="0" w:lastRowFirstColumn="0" w:lastRowLastColumn="0"/>
              <w:rPr>
                <w:rFonts w:cs="Arial"/>
                <w:szCs w:val="20"/>
              </w:rPr>
            </w:pPr>
            <w:r w:rsidRPr="00020F92">
              <w:rPr>
                <w:rFonts w:cs="Arial"/>
                <w:szCs w:val="20"/>
              </w:rPr>
              <w:t>915</w:t>
            </w:r>
          </w:p>
        </w:tc>
        <w:tc>
          <w:tcPr>
            <w:tcW w:w="702" w:type="dxa"/>
          </w:tcPr>
          <w:p w14:paraId="0129488E" w14:textId="77777777" w:rsidR="001A24C9" w:rsidRPr="00020F92" w:rsidRDefault="001A24C9" w:rsidP="001A24C9">
            <w:pPr>
              <w:keepNext/>
              <w:keepLines/>
              <w:tabs>
                <w:tab w:val="clear" w:pos="720"/>
              </w:tabs>
              <w:cnfStyle w:val="000000000000" w:firstRow="0" w:lastRow="0" w:firstColumn="0" w:lastColumn="0" w:oddVBand="0" w:evenVBand="0" w:oddHBand="0" w:evenHBand="0" w:firstRowFirstColumn="0" w:firstRowLastColumn="0" w:lastRowFirstColumn="0" w:lastRowLastColumn="0"/>
              <w:rPr>
                <w:rFonts w:cs="Arial"/>
                <w:szCs w:val="20"/>
              </w:rPr>
            </w:pPr>
            <w:r>
              <w:rPr>
                <w:rFonts w:cs="Arial"/>
                <w:szCs w:val="20"/>
              </w:rPr>
              <w:t>N/A</w:t>
            </w:r>
          </w:p>
        </w:tc>
        <w:tc>
          <w:tcPr>
            <w:tcW w:w="1789" w:type="dxa"/>
          </w:tcPr>
          <w:p w14:paraId="0129488F" w14:textId="77777777" w:rsidR="001A24C9" w:rsidRPr="00020F92" w:rsidRDefault="001A24C9" w:rsidP="001A24C9">
            <w:pPr>
              <w:keepNext/>
              <w:keepLines/>
              <w:cnfStyle w:val="000000000000" w:firstRow="0" w:lastRow="0" w:firstColumn="0" w:lastColumn="0" w:oddVBand="0" w:evenVBand="0" w:oddHBand="0" w:evenHBand="0" w:firstRowFirstColumn="0" w:firstRowLastColumn="0" w:lastRowFirstColumn="0" w:lastRowLastColumn="0"/>
              <w:rPr>
                <w:rFonts w:cs="Arial"/>
                <w:szCs w:val="20"/>
              </w:rPr>
            </w:pPr>
            <w:r w:rsidRPr="00020F92">
              <w:rPr>
                <w:rFonts w:cs="Arial"/>
                <w:szCs w:val="20"/>
              </w:rPr>
              <w:t>N/A</w:t>
            </w:r>
          </w:p>
        </w:tc>
        <w:tc>
          <w:tcPr>
            <w:tcW w:w="3143" w:type="dxa"/>
          </w:tcPr>
          <w:p w14:paraId="01294890" w14:textId="77777777" w:rsidR="001A24C9" w:rsidRPr="00020F92" w:rsidRDefault="001A24C9" w:rsidP="001A24C9">
            <w:pPr>
              <w:keepNext/>
              <w:keepLines/>
              <w:tabs>
                <w:tab w:val="clear" w:pos="720"/>
              </w:tabs>
              <w:jc w:val="left"/>
              <w:cnfStyle w:val="000000000000" w:firstRow="0" w:lastRow="0" w:firstColumn="0" w:lastColumn="0" w:oddVBand="0" w:evenVBand="0" w:oddHBand="0" w:evenHBand="0" w:firstRowFirstColumn="0" w:firstRowLastColumn="0" w:lastRowFirstColumn="0" w:lastRowLastColumn="0"/>
              <w:rPr>
                <w:rFonts w:cs="Arial"/>
                <w:szCs w:val="20"/>
              </w:rPr>
            </w:pPr>
            <w:r>
              <w:rPr>
                <w:rFonts w:cs="Arial"/>
                <w:szCs w:val="20"/>
              </w:rPr>
              <w:t xml:space="preserve">Model </w:t>
            </w:r>
            <w:r w:rsidR="00515924">
              <w:rPr>
                <w:rFonts w:cs="Arial"/>
                <w:szCs w:val="20"/>
              </w:rPr>
              <w:t xml:space="preserve">therm </w:t>
            </w:r>
            <w:r>
              <w:rPr>
                <w:rFonts w:cs="Arial"/>
                <w:szCs w:val="20"/>
              </w:rPr>
              <w:t>output for a typical weather year, multiplied by weighted average AFUE</w:t>
            </w:r>
            <w:r w:rsidR="003F511B">
              <w:rPr>
                <w:rStyle w:val="FootnoteReference"/>
                <w:rFonts w:cs="Arial"/>
                <w:szCs w:val="20"/>
              </w:rPr>
              <w:footnoteReference w:id="15"/>
            </w:r>
          </w:p>
        </w:tc>
      </w:tr>
      <w:tr w:rsidR="001A24C9" w:rsidRPr="00020F92" w14:paraId="01294897" w14:textId="77777777" w:rsidTr="001A24C9">
        <w:trPr>
          <w:trHeight w:val="540"/>
        </w:trPr>
        <w:tc>
          <w:tcPr>
            <w:cnfStyle w:val="001000000000" w:firstRow="0" w:lastRow="0" w:firstColumn="1" w:lastColumn="0" w:oddVBand="0" w:evenVBand="0" w:oddHBand="0" w:evenHBand="0" w:firstRowFirstColumn="0" w:firstRowLastColumn="0" w:lastRowFirstColumn="0" w:lastRowLastColumn="0"/>
            <w:tcW w:w="3168" w:type="dxa"/>
            <w:noWrap/>
            <w:hideMark/>
          </w:tcPr>
          <w:p w14:paraId="01294892" w14:textId="77777777" w:rsidR="001A24C9" w:rsidRPr="00020F92" w:rsidRDefault="001A24C9" w:rsidP="001A24C9">
            <w:pPr>
              <w:keepNext/>
              <w:keepLines/>
              <w:tabs>
                <w:tab w:val="clear" w:pos="720"/>
              </w:tabs>
              <w:spacing w:beforeAutospacing="0" w:afterAutospacing="0"/>
              <w:rPr>
                <w:rFonts w:cs="Arial"/>
                <w:szCs w:val="20"/>
              </w:rPr>
            </w:pPr>
            <w:r w:rsidRPr="00020F92">
              <w:rPr>
                <w:rFonts w:cs="Arial"/>
                <w:szCs w:val="20"/>
              </w:rPr>
              <w:t>Final Estimate of Heating Load</w:t>
            </w:r>
          </w:p>
        </w:tc>
        <w:tc>
          <w:tcPr>
            <w:tcW w:w="839" w:type="dxa"/>
            <w:noWrap/>
            <w:hideMark/>
          </w:tcPr>
          <w:p w14:paraId="01294893" w14:textId="77777777" w:rsidR="001A24C9" w:rsidRPr="00020F92" w:rsidRDefault="001A24C9" w:rsidP="001A24C9">
            <w:pPr>
              <w:keepNext/>
              <w:keepLines/>
              <w:tabs>
                <w:tab w:val="clear" w:pos="720"/>
              </w:tabs>
              <w:cnfStyle w:val="000000000000" w:firstRow="0" w:lastRow="0" w:firstColumn="0" w:lastColumn="0" w:oddVBand="0" w:evenVBand="0" w:oddHBand="0" w:evenHBand="0" w:firstRowFirstColumn="0" w:firstRowLastColumn="0" w:lastRowFirstColumn="0" w:lastRowLastColumn="0"/>
              <w:rPr>
                <w:rFonts w:cs="Arial"/>
                <w:szCs w:val="20"/>
              </w:rPr>
            </w:pPr>
            <w:r w:rsidRPr="00020F92">
              <w:rPr>
                <w:rFonts w:cs="Arial"/>
                <w:szCs w:val="20"/>
              </w:rPr>
              <w:t>8</w:t>
            </w:r>
            <w:r w:rsidR="003F511B">
              <w:rPr>
                <w:rFonts w:cs="Arial"/>
                <w:szCs w:val="20"/>
              </w:rPr>
              <w:t>3</w:t>
            </w:r>
            <w:r w:rsidRPr="00020F92">
              <w:rPr>
                <w:rFonts w:cs="Arial"/>
                <w:szCs w:val="20"/>
              </w:rPr>
              <w:t>4</w:t>
            </w:r>
          </w:p>
        </w:tc>
        <w:tc>
          <w:tcPr>
            <w:tcW w:w="702" w:type="dxa"/>
          </w:tcPr>
          <w:p w14:paraId="01294894" w14:textId="77777777" w:rsidR="001A24C9" w:rsidRPr="00020F92" w:rsidRDefault="001A24C9" w:rsidP="001A24C9">
            <w:pPr>
              <w:keepNext/>
              <w:keepLines/>
              <w:tabs>
                <w:tab w:val="clear" w:pos="720"/>
              </w:tabs>
              <w:cnfStyle w:val="000000000000" w:firstRow="0" w:lastRow="0" w:firstColumn="0" w:lastColumn="0" w:oddVBand="0" w:evenVBand="0" w:oddHBand="0" w:evenHBand="0" w:firstRowFirstColumn="0" w:firstRowLastColumn="0" w:lastRowFirstColumn="0" w:lastRowLastColumn="0"/>
              <w:rPr>
                <w:rFonts w:cs="Arial"/>
                <w:szCs w:val="20"/>
              </w:rPr>
            </w:pPr>
            <w:r>
              <w:rPr>
                <w:rFonts w:cs="Arial"/>
                <w:szCs w:val="20"/>
              </w:rPr>
              <w:t>N/A</w:t>
            </w:r>
          </w:p>
        </w:tc>
        <w:tc>
          <w:tcPr>
            <w:tcW w:w="1789" w:type="dxa"/>
          </w:tcPr>
          <w:p w14:paraId="01294895" w14:textId="77777777" w:rsidR="001A24C9" w:rsidRPr="00020F92" w:rsidRDefault="001A24C9" w:rsidP="001A24C9">
            <w:pPr>
              <w:keepNext/>
              <w:keepLines/>
              <w:cnfStyle w:val="000000000000" w:firstRow="0" w:lastRow="0" w:firstColumn="0" w:lastColumn="0" w:oddVBand="0" w:evenVBand="0" w:oddHBand="0" w:evenHBand="0" w:firstRowFirstColumn="0" w:firstRowLastColumn="0" w:lastRowFirstColumn="0" w:lastRowLastColumn="0"/>
              <w:rPr>
                <w:rFonts w:cs="Arial"/>
                <w:szCs w:val="20"/>
              </w:rPr>
            </w:pPr>
            <w:r w:rsidRPr="00020F92">
              <w:rPr>
                <w:rFonts w:cs="Arial"/>
                <w:szCs w:val="20"/>
              </w:rPr>
              <w:t>7.7%</w:t>
            </w:r>
          </w:p>
        </w:tc>
        <w:tc>
          <w:tcPr>
            <w:tcW w:w="3143" w:type="dxa"/>
          </w:tcPr>
          <w:p w14:paraId="01294896" w14:textId="77777777" w:rsidR="001A24C9" w:rsidRPr="00020F92" w:rsidRDefault="001A24C9" w:rsidP="001A24C9">
            <w:pPr>
              <w:keepNext/>
              <w:keepLines/>
              <w:tabs>
                <w:tab w:val="clear" w:pos="720"/>
              </w:tabs>
              <w:jc w:val="left"/>
              <w:cnfStyle w:val="000000000000" w:firstRow="0" w:lastRow="0" w:firstColumn="0" w:lastColumn="0" w:oddVBand="0" w:evenVBand="0" w:oddHBand="0" w:evenHBand="0" w:firstRowFirstColumn="0" w:firstRowLastColumn="0" w:lastRowFirstColumn="0" w:lastRowLastColumn="0"/>
              <w:rPr>
                <w:rFonts w:cs="Arial"/>
                <w:szCs w:val="20"/>
              </w:rPr>
            </w:pPr>
            <w:r>
              <w:rPr>
                <w:rFonts w:cs="Arial"/>
                <w:szCs w:val="20"/>
              </w:rPr>
              <w:t xml:space="preserve">Product of typical year heating load </w:t>
            </w:r>
            <w:r w:rsidR="00515924">
              <w:rPr>
                <w:rFonts w:cs="Arial"/>
                <w:szCs w:val="20"/>
              </w:rPr>
              <w:t xml:space="preserve">therms </w:t>
            </w:r>
            <w:r>
              <w:rPr>
                <w:rFonts w:cs="Arial"/>
                <w:szCs w:val="20"/>
              </w:rPr>
              <w:t>and mean ratio of metered to billed heating loads</w:t>
            </w:r>
          </w:p>
        </w:tc>
      </w:tr>
    </w:tbl>
    <w:p w14:paraId="01294898" w14:textId="77777777" w:rsidR="00D367FE" w:rsidRDefault="00D367FE" w:rsidP="001A24C9">
      <w:pPr>
        <w:pStyle w:val="Heading2"/>
      </w:pPr>
      <w:bookmarkStart w:id="35" w:name="_Toc363131918"/>
      <w:r>
        <w:t>Th</w:t>
      </w:r>
      <w:bookmarkStart w:id="36" w:name="_GoBack"/>
      <w:bookmarkEnd w:id="36"/>
      <w:r>
        <w:t>erm Savings and EFLH</w:t>
      </w:r>
      <w:bookmarkEnd w:id="35"/>
    </w:p>
    <w:p w14:paraId="01294899" w14:textId="77777777" w:rsidR="00D367FE" w:rsidRDefault="00D367FE" w:rsidP="00CF687B">
      <w:pPr>
        <w:ind w:left="90"/>
      </w:pPr>
      <w:r>
        <w:t xml:space="preserve">Navigant used the final heating load estimate to calculate average therm savings for Nicor Gas HEER participants using the Illinois TRM algorithm: </w:t>
      </w:r>
    </w:p>
    <w:p w14:paraId="0129489A" w14:textId="77777777" w:rsidR="00375470" w:rsidRDefault="00375470" w:rsidP="00CF687B">
      <w:pPr>
        <w:ind w:left="810"/>
      </w:pPr>
    </w:p>
    <w:p w14:paraId="0129489B" w14:textId="77777777" w:rsidR="00D367FE" w:rsidRPr="00375470" w:rsidRDefault="00C04E72" w:rsidP="00CF687B">
      <w:pPr>
        <w:ind w:left="810"/>
      </w:pPr>
      <m:oMathPara>
        <m:oMath>
          <m:r>
            <w:rPr>
              <w:rFonts w:ascii="Cambria Math" w:hAnsi="Cambria Math"/>
            </w:rPr>
            <m:t>Average Therm Savings=Gas Heating Load ×</m:t>
          </m:r>
          <m:d>
            <m:dPr>
              <m:ctrlPr>
                <w:rPr>
                  <w:rFonts w:ascii="Cambria Math" w:hAnsi="Cambria Math"/>
                  <w:i/>
                </w:rPr>
              </m:ctrlPr>
            </m:dPr>
            <m:e>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AFUE</m:t>
                      </m:r>
                    </m:e>
                    <m:sub>
                      <m:r>
                        <w:rPr>
                          <w:rFonts w:ascii="Cambria Math" w:hAnsi="Cambria Math"/>
                        </w:rPr>
                        <m:t>base</m:t>
                      </m:r>
                    </m:sub>
                  </m:sSub>
                </m:den>
              </m:f>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AFUE</m:t>
                      </m:r>
                    </m:e>
                    <m:sub>
                      <m:r>
                        <w:rPr>
                          <w:rFonts w:ascii="Cambria Math" w:hAnsi="Cambria Math"/>
                        </w:rPr>
                        <m:t>ee</m:t>
                      </m:r>
                    </m:sub>
                  </m:sSub>
                </m:den>
              </m:f>
            </m:e>
          </m:d>
        </m:oMath>
      </m:oMathPara>
    </w:p>
    <w:p w14:paraId="0129489C" w14:textId="77777777" w:rsidR="00375470" w:rsidRDefault="00375470" w:rsidP="00CF687B"/>
    <w:p w14:paraId="0129489D" w14:textId="77777777" w:rsidR="00375470" w:rsidRDefault="00375470" w:rsidP="00CF687B">
      <w:r>
        <w:t>Where AFUE</w:t>
      </w:r>
      <w:r w:rsidRPr="00CF687B">
        <w:rPr>
          <w:vertAlign w:val="subscript"/>
        </w:rPr>
        <w:t>base</w:t>
      </w:r>
      <w:r>
        <w:t xml:space="preserve"> is equal to 80% per the TRM and AFUE</w:t>
      </w:r>
      <w:r w:rsidRPr="00CF687B">
        <w:rPr>
          <w:vertAlign w:val="subscript"/>
        </w:rPr>
        <w:t>ee</w:t>
      </w:r>
      <w:r>
        <w:t xml:space="preserve"> equals 95.1%, the weighted average AFUE of participants in the sample. </w:t>
      </w:r>
    </w:p>
    <w:p w14:paraId="0129489E" w14:textId="77777777" w:rsidR="00DC7273" w:rsidRDefault="00DC7273" w:rsidP="00CF687B"/>
    <w:p w14:paraId="0129489F" w14:textId="77777777" w:rsidR="00375470" w:rsidRDefault="00102464" w:rsidP="00CF687B">
      <w:r>
        <w:t>Navigant rearranged the following standard equation for furnace therm savings to calculate the weighted average EFLH for the entire sample of 380 participants:</w:t>
      </w:r>
    </w:p>
    <w:p w14:paraId="012948A0" w14:textId="77777777" w:rsidR="00102464" w:rsidRPr="00375470" w:rsidRDefault="005C5BA2" w:rsidP="00CF687B">
      <m:oMathPara>
        <m:oMath>
          <m:sSub>
            <m:sSubPr>
              <m:ctrlPr>
                <w:rPr>
                  <w:rFonts w:ascii="Cambria Math" w:hAnsi="Cambria Math"/>
                  <w:i/>
                </w:rPr>
              </m:ctrlPr>
            </m:sSubPr>
            <m:e>
              <m:r>
                <w:rPr>
                  <w:rFonts w:ascii="Cambria Math" w:hAnsi="Cambria Math"/>
                </w:rPr>
                <m:t>Therm Savings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EFLH</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Furnace Capacity</m:t>
              </m:r>
            </m:e>
            <m:sub>
              <m:r>
                <w:rPr>
                  <w:rFonts w:ascii="Cambria Math" w:hAnsi="Cambria Math"/>
                </w:rPr>
                <m:t>i</m:t>
              </m:r>
            </m:sub>
          </m:sSub>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AFUE</m:t>
                      </m:r>
                    </m:e>
                    <m:sub>
                      <m:r>
                        <w:rPr>
                          <w:rFonts w:ascii="Cambria Math" w:hAnsi="Cambria Math"/>
                        </w:rPr>
                        <m:t>base</m:t>
                      </m:r>
                    </m:sub>
                  </m:sSub>
                </m:den>
              </m:f>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AFUE</m:t>
                      </m:r>
                    </m:e>
                    <m:sub>
                      <m:r>
                        <w:rPr>
                          <w:rFonts w:ascii="Cambria Math" w:hAnsi="Cambria Math"/>
                        </w:rPr>
                        <m:t>ee,i</m:t>
                      </m:r>
                    </m:sub>
                  </m:sSub>
                </m:den>
              </m:f>
            </m:e>
          </m:d>
        </m:oMath>
      </m:oMathPara>
    </w:p>
    <w:p w14:paraId="012948A1" w14:textId="77777777" w:rsidR="00375470" w:rsidRDefault="00375470" w:rsidP="00CF687B"/>
    <w:p w14:paraId="012948A2" w14:textId="77777777" w:rsidR="00375470" w:rsidRPr="00C04E72" w:rsidRDefault="00102464" w:rsidP="00CF687B">
      <m:oMathPara>
        <m:oMath>
          <m:r>
            <w:rPr>
              <w:rFonts w:ascii="Cambria Math" w:hAnsi="Cambria Math"/>
            </w:rPr>
            <m:t xml:space="preserve">Weighted Average EFLH= </m:t>
          </m:r>
          <m:f>
            <m:fPr>
              <m:ctrlPr>
                <w:rPr>
                  <w:rFonts w:ascii="Cambria Math" w:hAnsi="Cambria Math"/>
                  <w:i/>
                </w:rPr>
              </m:ctrlPr>
            </m:fPr>
            <m:num>
              <m:nary>
                <m:naryPr>
                  <m:chr m:val="∑"/>
                  <m:limLoc m:val="undOvr"/>
                  <m:supHide m:val="1"/>
                  <m:ctrlPr>
                    <w:rPr>
                      <w:rFonts w:ascii="Cambria Math" w:hAnsi="Cambria Math"/>
                      <w:i/>
                    </w:rPr>
                  </m:ctrlPr>
                </m:naryPr>
                <m:sub>
                  <m:r>
                    <w:rPr>
                      <w:rFonts w:ascii="Cambria Math" w:hAnsi="Cambria Math"/>
                    </w:rPr>
                    <m:t>i</m:t>
                  </m:r>
                </m:sub>
                <m:sup/>
                <m:e>
                  <m:r>
                    <w:rPr>
                      <w:rFonts w:ascii="Cambria Math" w:hAnsi="Cambria Math"/>
                    </w:rPr>
                    <m:t>Therm Savings</m:t>
                  </m:r>
                </m:e>
              </m:nary>
            </m:num>
            <m:den>
              <m:nary>
                <m:naryPr>
                  <m:chr m:val="∑"/>
                  <m:limLoc m:val="undOvr"/>
                  <m:supHide m:val="1"/>
                  <m:ctrlPr>
                    <w:rPr>
                      <w:rFonts w:ascii="Cambria Math" w:hAnsi="Cambria Math"/>
                      <w:i/>
                    </w:rPr>
                  </m:ctrlPr>
                </m:naryPr>
                <m:sub>
                  <m:r>
                    <w:rPr>
                      <w:rFonts w:ascii="Cambria Math" w:hAnsi="Cambria Math"/>
                    </w:rPr>
                    <m:t>i</m:t>
                  </m:r>
                </m:sub>
                <m:sup/>
                <m:e>
                  <m:sSub>
                    <m:sSubPr>
                      <m:ctrlPr>
                        <w:rPr>
                          <w:rFonts w:ascii="Cambria Math" w:hAnsi="Cambria Math"/>
                          <w:i/>
                        </w:rPr>
                      </m:ctrlPr>
                    </m:sSubPr>
                    <m:e>
                      <m:r>
                        <w:rPr>
                          <w:rFonts w:ascii="Cambria Math" w:hAnsi="Cambria Math"/>
                        </w:rPr>
                        <m:t>Furnace Capacity</m:t>
                      </m:r>
                    </m:e>
                    <m:sub>
                      <m:r>
                        <w:rPr>
                          <w:rFonts w:ascii="Cambria Math" w:hAnsi="Cambria Math"/>
                        </w:rPr>
                        <m:t>i</m:t>
                      </m:r>
                    </m:sub>
                  </m:sSub>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AFUE</m:t>
                              </m:r>
                            </m:e>
                            <m:sub>
                              <m:r>
                                <w:rPr>
                                  <w:rFonts w:ascii="Cambria Math" w:hAnsi="Cambria Math"/>
                                </w:rPr>
                                <m:t>base</m:t>
                              </m:r>
                            </m:sub>
                          </m:sSub>
                        </m:den>
                      </m:f>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AFUE</m:t>
                              </m:r>
                            </m:e>
                            <m:sub>
                              <m:r>
                                <w:rPr>
                                  <w:rFonts w:ascii="Cambria Math" w:hAnsi="Cambria Math"/>
                                </w:rPr>
                                <m:t>ee,i</m:t>
                              </m:r>
                            </m:sub>
                          </m:sSub>
                        </m:den>
                      </m:f>
                    </m:e>
                  </m:d>
                </m:e>
              </m:nary>
            </m:den>
          </m:f>
        </m:oMath>
      </m:oMathPara>
    </w:p>
    <w:p w14:paraId="012948A3" w14:textId="77777777" w:rsidR="00C04E72" w:rsidRDefault="00C04E72" w:rsidP="00CF687B"/>
    <w:p w14:paraId="012948A4" w14:textId="77777777" w:rsidR="00375470" w:rsidRDefault="00375470" w:rsidP="00CF687B">
      <w:r>
        <w:t>Where furnace capacity equals the maximum rated capacity of the unit</w:t>
      </w:r>
      <w:r w:rsidR="00C04E72">
        <w:t xml:space="preserve"> in Btu</w:t>
      </w:r>
      <w:r w:rsidR="00102464">
        <w:t>, and the sum of therm savings is equal to the number of participants multiplied by the average therm savings previously calculated</w:t>
      </w:r>
      <w:r>
        <w:t xml:space="preserve">. </w:t>
      </w:r>
      <w:r w:rsidR="00515924">
        <w:fldChar w:fldCharType="begin"/>
      </w:r>
      <w:r w:rsidR="00515924">
        <w:instrText xml:space="preserve"> REF _Ref363075864 \h </w:instrText>
      </w:r>
      <w:r w:rsidR="00515924">
        <w:fldChar w:fldCharType="separate"/>
      </w:r>
      <w:r w:rsidR="00CF687B">
        <w:t xml:space="preserve">Table </w:t>
      </w:r>
      <w:r w:rsidR="00CF687B">
        <w:rPr>
          <w:noProof/>
        </w:rPr>
        <w:t>2</w:t>
      </w:r>
      <w:r w:rsidR="00CF687B">
        <w:noBreakHyphen/>
      </w:r>
      <w:r w:rsidR="00CF687B">
        <w:rPr>
          <w:noProof/>
        </w:rPr>
        <w:t>2</w:t>
      </w:r>
      <w:r w:rsidR="00515924">
        <w:fldChar w:fldCharType="end"/>
      </w:r>
      <w:r w:rsidR="00515924">
        <w:t xml:space="preserve"> shows the resulting values for average therm savings and EFLH. </w:t>
      </w:r>
    </w:p>
    <w:p w14:paraId="012948A5" w14:textId="77777777" w:rsidR="00515924" w:rsidRDefault="00515924" w:rsidP="00CF687B"/>
    <w:p w14:paraId="012948A6" w14:textId="77777777" w:rsidR="00375470" w:rsidRDefault="00375470" w:rsidP="00CF687B">
      <w:pPr>
        <w:pStyle w:val="Caption"/>
      </w:pPr>
      <w:bookmarkStart w:id="37" w:name="_Ref363075864"/>
      <w:bookmarkStart w:id="38" w:name="_Toc363131939"/>
      <w:r>
        <w:t xml:space="preserve">Table </w:t>
      </w:r>
      <w:fldSimple w:instr=" STYLEREF 1 \s ">
        <w:r w:rsidR="00CF687B">
          <w:rPr>
            <w:noProof/>
          </w:rPr>
          <w:t>2</w:t>
        </w:r>
      </w:fldSimple>
      <w:r>
        <w:noBreakHyphen/>
      </w:r>
      <w:fldSimple w:instr=" SEQ Table \* ARABIC \s 1 ">
        <w:r w:rsidR="00CF687B">
          <w:rPr>
            <w:noProof/>
          </w:rPr>
          <w:t>2</w:t>
        </w:r>
      </w:fldSimple>
      <w:bookmarkEnd w:id="37"/>
      <w:r>
        <w:t>: Final Results for Average Therm Savings and EFLH</w:t>
      </w:r>
      <w:bookmarkEnd w:id="38"/>
    </w:p>
    <w:tbl>
      <w:tblPr>
        <w:tblStyle w:val="EnergyPracticeTable"/>
        <w:tblW w:w="0" w:type="auto"/>
        <w:jc w:val="center"/>
        <w:tblLook w:val="04A0" w:firstRow="1" w:lastRow="0" w:firstColumn="1" w:lastColumn="0" w:noHBand="0" w:noVBand="1"/>
      </w:tblPr>
      <w:tblGrid>
        <w:gridCol w:w="2446"/>
        <w:gridCol w:w="1037"/>
      </w:tblGrid>
      <w:tr w:rsidR="00375470" w14:paraId="012948A9" w14:textId="77777777" w:rsidTr="00CF687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46" w:type="dxa"/>
          </w:tcPr>
          <w:p w14:paraId="012948A7" w14:textId="77777777" w:rsidR="00375470" w:rsidRDefault="00375470" w:rsidP="00CF687B">
            <w:pPr>
              <w:keepNext/>
              <w:keepLines/>
              <w:spacing w:afterAutospacing="0"/>
              <w:rPr>
                <w:b w:val="0"/>
                <w:color w:val="auto"/>
              </w:rPr>
            </w:pPr>
            <w:r>
              <w:t>Metric</w:t>
            </w:r>
          </w:p>
        </w:tc>
        <w:tc>
          <w:tcPr>
            <w:tcW w:w="1037" w:type="dxa"/>
          </w:tcPr>
          <w:p w14:paraId="012948A8" w14:textId="77777777" w:rsidR="00375470" w:rsidRDefault="00375470" w:rsidP="00CF687B">
            <w:pPr>
              <w:keepNext/>
              <w:keepLines/>
              <w:spacing w:afterAutospacing="0"/>
              <w:cnfStyle w:val="100000000000" w:firstRow="1" w:lastRow="0" w:firstColumn="0" w:lastColumn="0" w:oddVBand="0" w:evenVBand="0" w:oddHBand="0" w:evenHBand="0" w:firstRowFirstColumn="0" w:firstRowLastColumn="0" w:lastRowFirstColumn="0" w:lastRowLastColumn="0"/>
              <w:rPr>
                <w:b w:val="0"/>
                <w:color w:val="auto"/>
              </w:rPr>
            </w:pPr>
            <w:r>
              <w:t>Research Result</w:t>
            </w:r>
          </w:p>
        </w:tc>
      </w:tr>
      <w:tr w:rsidR="00375470" w14:paraId="012948AC" w14:textId="77777777" w:rsidTr="00CF687B">
        <w:trPr>
          <w:jc w:val="center"/>
        </w:trPr>
        <w:tc>
          <w:tcPr>
            <w:cnfStyle w:val="001000000000" w:firstRow="0" w:lastRow="0" w:firstColumn="1" w:lastColumn="0" w:oddVBand="0" w:evenVBand="0" w:oddHBand="0" w:evenHBand="0" w:firstRowFirstColumn="0" w:firstRowLastColumn="0" w:lastRowFirstColumn="0" w:lastRowLastColumn="0"/>
            <w:tcW w:w="2446" w:type="dxa"/>
          </w:tcPr>
          <w:p w14:paraId="012948AA" w14:textId="77777777" w:rsidR="00375470" w:rsidRDefault="00515924" w:rsidP="00CF687B">
            <w:pPr>
              <w:keepNext/>
              <w:keepLines/>
              <w:spacing w:afterAutospacing="0"/>
            </w:pPr>
            <w:r>
              <w:t xml:space="preserve">Average </w:t>
            </w:r>
            <w:r w:rsidR="00375470">
              <w:t>Therm Savings</w:t>
            </w:r>
          </w:p>
        </w:tc>
        <w:tc>
          <w:tcPr>
            <w:tcW w:w="1037" w:type="dxa"/>
          </w:tcPr>
          <w:p w14:paraId="012948AB" w14:textId="77777777" w:rsidR="00375470" w:rsidRDefault="00375470" w:rsidP="00CF687B">
            <w:pPr>
              <w:keepNext/>
              <w:keepLines/>
              <w:cnfStyle w:val="000000000000" w:firstRow="0" w:lastRow="0" w:firstColumn="0" w:lastColumn="0" w:oddVBand="0" w:evenVBand="0" w:oddHBand="0" w:evenHBand="0" w:firstRowFirstColumn="0" w:firstRowLastColumn="0" w:lastRowFirstColumn="0" w:lastRowLastColumn="0"/>
            </w:pPr>
            <w:r>
              <w:t>166</w:t>
            </w:r>
          </w:p>
        </w:tc>
      </w:tr>
      <w:tr w:rsidR="00375470" w14:paraId="012948AF" w14:textId="77777777" w:rsidTr="00CF687B">
        <w:trPr>
          <w:jc w:val="center"/>
        </w:trPr>
        <w:tc>
          <w:tcPr>
            <w:cnfStyle w:val="001000000000" w:firstRow="0" w:lastRow="0" w:firstColumn="1" w:lastColumn="0" w:oddVBand="0" w:evenVBand="0" w:oddHBand="0" w:evenHBand="0" w:firstRowFirstColumn="0" w:firstRowLastColumn="0" w:lastRowFirstColumn="0" w:lastRowLastColumn="0"/>
            <w:tcW w:w="2446" w:type="dxa"/>
          </w:tcPr>
          <w:p w14:paraId="012948AD" w14:textId="77777777" w:rsidR="00375470" w:rsidRDefault="00515924" w:rsidP="00CF687B">
            <w:pPr>
              <w:keepNext/>
              <w:keepLines/>
              <w:spacing w:afterAutospacing="0"/>
            </w:pPr>
            <w:r>
              <w:t xml:space="preserve">Average </w:t>
            </w:r>
            <w:r w:rsidR="00375470">
              <w:t>EFLH</w:t>
            </w:r>
          </w:p>
        </w:tc>
        <w:tc>
          <w:tcPr>
            <w:tcW w:w="1037" w:type="dxa"/>
          </w:tcPr>
          <w:p w14:paraId="012948AE" w14:textId="77777777" w:rsidR="00375470" w:rsidRDefault="00375470" w:rsidP="00CF687B">
            <w:pPr>
              <w:keepNext/>
              <w:keepLines/>
              <w:cnfStyle w:val="000000000000" w:firstRow="0" w:lastRow="0" w:firstColumn="0" w:lastColumn="0" w:oddVBand="0" w:evenVBand="0" w:oddHBand="0" w:evenHBand="0" w:firstRowFirstColumn="0" w:firstRowLastColumn="0" w:lastRowFirstColumn="0" w:lastRowLastColumn="0"/>
            </w:pPr>
            <w:r>
              <w:t>976</w:t>
            </w:r>
          </w:p>
        </w:tc>
      </w:tr>
    </w:tbl>
    <w:p w14:paraId="012948B0" w14:textId="77777777" w:rsidR="00AE0D1A" w:rsidRDefault="001A24C9" w:rsidP="001A24C9">
      <w:pPr>
        <w:pStyle w:val="Heading2"/>
      </w:pPr>
      <w:bookmarkStart w:id="39" w:name="_Toc363131919"/>
      <w:r>
        <w:t>Results Discussion</w:t>
      </w:r>
      <w:bookmarkEnd w:id="39"/>
    </w:p>
    <w:p w14:paraId="012948B1" w14:textId="77777777" w:rsidR="001A24C9" w:rsidRDefault="00A26181" w:rsidP="001A24C9">
      <w:r>
        <w:t xml:space="preserve">The study achieved the primary goals of providing estimates of gas heating load, therm savings and EFLH for Nicor Gas HEER participants installing high efficiency furnaces. Navigant also met the statistical target of less than 10% relative precision at 90% confidence with a final relative precision of 7.7%. Navigant describes some of this research’s additional strengths and </w:t>
      </w:r>
      <w:r w:rsidR="004A1608">
        <w:t>challenges</w:t>
      </w:r>
      <w:r>
        <w:t xml:space="preserve"> in this section. </w:t>
      </w:r>
    </w:p>
    <w:p w14:paraId="012948B2" w14:textId="77777777" w:rsidR="00374508" w:rsidRDefault="00374508" w:rsidP="00374508">
      <w:pPr>
        <w:pStyle w:val="Heading3"/>
      </w:pPr>
      <w:bookmarkStart w:id="40" w:name="_Toc363131920"/>
      <w:r>
        <w:t>Study Strengths and Weaknesses</w:t>
      </w:r>
      <w:bookmarkEnd w:id="40"/>
    </w:p>
    <w:p w14:paraId="012948B3" w14:textId="77777777" w:rsidR="00374508" w:rsidRDefault="00DC7273" w:rsidP="00374508">
      <w:r>
        <w:t>There</w:t>
      </w:r>
      <w:r w:rsidR="00374508">
        <w:t xml:space="preserve"> are several strengths which demonstrate the reliability of these results: </w:t>
      </w:r>
    </w:p>
    <w:p w14:paraId="012948B4" w14:textId="77777777" w:rsidR="00374508" w:rsidRPr="00951D88" w:rsidRDefault="00374508" w:rsidP="00951D88">
      <w:pPr>
        <w:pStyle w:val="ListParagraph"/>
        <w:numPr>
          <w:ilvl w:val="0"/>
          <w:numId w:val="43"/>
        </w:numPr>
        <w:rPr>
          <w:sz w:val="20"/>
          <w:szCs w:val="20"/>
        </w:rPr>
      </w:pPr>
      <w:r w:rsidRPr="00951D88">
        <w:rPr>
          <w:sz w:val="20"/>
          <w:szCs w:val="20"/>
        </w:rPr>
        <w:t>Actual run time data for 39 homes provides heating-specific data that is not available from any other method</w:t>
      </w:r>
    </w:p>
    <w:p w14:paraId="012948B5" w14:textId="77777777" w:rsidR="00374508" w:rsidRPr="00951D88" w:rsidRDefault="00374508" w:rsidP="00951D88">
      <w:pPr>
        <w:pStyle w:val="ListParagraph"/>
        <w:numPr>
          <w:ilvl w:val="0"/>
          <w:numId w:val="43"/>
        </w:numPr>
        <w:rPr>
          <w:sz w:val="20"/>
          <w:szCs w:val="20"/>
        </w:rPr>
      </w:pPr>
      <w:r w:rsidRPr="00951D88">
        <w:rPr>
          <w:sz w:val="20"/>
          <w:szCs w:val="20"/>
        </w:rPr>
        <w:t>Billing data analysis allowed Navigant to leverage a larger sample while keeping on-site costs low</w:t>
      </w:r>
      <w:r w:rsidR="00C00E60">
        <w:rPr>
          <w:sz w:val="20"/>
          <w:szCs w:val="20"/>
        </w:rPr>
        <w:t xml:space="preserve">. The nested sampling approach also reduced the potential for bias due to the location, size or other characteristics of the metered sites, since the key data output from the metered sites was not their absolute consumption but the ratio of their metered consumption and billing data consumption estimates. </w:t>
      </w:r>
    </w:p>
    <w:p w14:paraId="012948B6" w14:textId="77777777" w:rsidR="00374508" w:rsidRPr="00951D88" w:rsidRDefault="00374508" w:rsidP="00951D88">
      <w:pPr>
        <w:pStyle w:val="ListParagraph"/>
        <w:numPr>
          <w:ilvl w:val="0"/>
          <w:numId w:val="43"/>
        </w:numPr>
        <w:rPr>
          <w:sz w:val="20"/>
          <w:szCs w:val="20"/>
        </w:rPr>
      </w:pPr>
      <w:r w:rsidRPr="00951D88">
        <w:rPr>
          <w:sz w:val="20"/>
          <w:szCs w:val="20"/>
        </w:rPr>
        <w:t xml:space="preserve">Use of an energy model to extrapolate values to a typical weather year is more accurate than the simple heating degree-day approach used previously </w:t>
      </w:r>
      <w:r w:rsidR="00A26181">
        <w:rPr>
          <w:sz w:val="20"/>
          <w:szCs w:val="20"/>
        </w:rPr>
        <w:t xml:space="preserve">for two reasons: first, </w:t>
      </w:r>
      <w:r w:rsidR="00AF3954">
        <w:rPr>
          <w:sz w:val="20"/>
          <w:szCs w:val="20"/>
        </w:rPr>
        <w:t>the model is able to capture hourly and daily temperature variability instead of simple average temperatures. Second, the model</w:t>
      </w:r>
      <w:r w:rsidRPr="00951D88">
        <w:rPr>
          <w:sz w:val="20"/>
          <w:szCs w:val="20"/>
        </w:rPr>
        <w:t xml:space="preserve"> captures other weather effects such as cloud cover (affects solar gains) and wind (affects infiltration) in addition to temperature. </w:t>
      </w:r>
    </w:p>
    <w:p w14:paraId="012948B7" w14:textId="77777777" w:rsidR="00951D88" w:rsidRDefault="00951D88" w:rsidP="00374508"/>
    <w:p w14:paraId="012948B8" w14:textId="77777777" w:rsidR="00374508" w:rsidRDefault="00374508" w:rsidP="00374508">
      <w:r>
        <w:t xml:space="preserve">There are some </w:t>
      </w:r>
      <w:r w:rsidR="00951D88">
        <w:t>caveats</w:t>
      </w:r>
      <w:r>
        <w:t xml:space="preserve"> which should be considered when using these results: </w:t>
      </w:r>
    </w:p>
    <w:p w14:paraId="012948B9" w14:textId="77777777" w:rsidR="00951D88" w:rsidRPr="00951D88" w:rsidRDefault="00951D88" w:rsidP="00374508">
      <w:pPr>
        <w:pStyle w:val="ListParagraph"/>
        <w:numPr>
          <w:ilvl w:val="0"/>
          <w:numId w:val="42"/>
        </w:numPr>
        <w:rPr>
          <w:sz w:val="20"/>
          <w:szCs w:val="20"/>
        </w:rPr>
      </w:pPr>
      <w:r w:rsidRPr="00951D88">
        <w:rPr>
          <w:sz w:val="20"/>
          <w:szCs w:val="20"/>
        </w:rPr>
        <w:t xml:space="preserve">The metered data sample relies on a spot measurement of furnace input capacity. These measurements were all within ten percent of rated values, but may vary slightly during furnace operation. </w:t>
      </w:r>
    </w:p>
    <w:p w14:paraId="012948BA" w14:textId="77777777" w:rsidR="00951D88" w:rsidRPr="00951D88" w:rsidRDefault="00951D88" w:rsidP="00374508">
      <w:pPr>
        <w:pStyle w:val="ListParagraph"/>
        <w:numPr>
          <w:ilvl w:val="0"/>
          <w:numId w:val="42"/>
        </w:numPr>
        <w:rPr>
          <w:sz w:val="20"/>
          <w:szCs w:val="20"/>
        </w:rPr>
      </w:pPr>
      <w:r w:rsidRPr="00951D88">
        <w:rPr>
          <w:sz w:val="20"/>
          <w:szCs w:val="20"/>
        </w:rPr>
        <w:t>The model extrapolation is based only on the known home characteristics of the metered sample</w:t>
      </w:r>
      <w:r w:rsidR="00AF3954">
        <w:rPr>
          <w:sz w:val="20"/>
          <w:szCs w:val="20"/>
        </w:rPr>
        <w:t xml:space="preserve"> and is specific to the Nicor Gas service territory</w:t>
      </w:r>
      <w:r w:rsidRPr="00951D88">
        <w:rPr>
          <w:sz w:val="20"/>
          <w:szCs w:val="20"/>
        </w:rPr>
        <w:t>. Other regions with different housing stock</w:t>
      </w:r>
      <w:r w:rsidR="00AF3954">
        <w:rPr>
          <w:sz w:val="20"/>
          <w:szCs w:val="20"/>
        </w:rPr>
        <w:t>, furnace sizing practices or participant behavior may see different results</w:t>
      </w:r>
      <w:r w:rsidRPr="00951D88">
        <w:rPr>
          <w:sz w:val="20"/>
          <w:szCs w:val="20"/>
        </w:rPr>
        <w:t xml:space="preserve">. </w:t>
      </w:r>
    </w:p>
    <w:p w14:paraId="012948BB" w14:textId="77777777" w:rsidR="00951D88" w:rsidRDefault="00951D88" w:rsidP="00374508">
      <w:pPr>
        <w:pStyle w:val="ListParagraph"/>
        <w:numPr>
          <w:ilvl w:val="0"/>
          <w:numId w:val="42"/>
        </w:numPr>
        <w:rPr>
          <w:sz w:val="20"/>
          <w:szCs w:val="20"/>
        </w:rPr>
      </w:pPr>
      <w:r w:rsidRPr="00951D88">
        <w:rPr>
          <w:sz w:val="20"/>
          <w:szCs w:val="20"/>
        </w:rPr>
        <w:t xml:space="preserve">Navigant was unable to effectively verify installed unit operating efficiency, and thus elected to rely on rated AFUE to estimate heating loads and savings from the calculated gas heating consumption. </w:t>
      </w:r>
    </w:p>
    <w:p w14:paraId="012948BC" w14:textId="77777777" w:rsidR="00515924" w:rsidRDefault="00515924" w:rsidP="00CF687B">
      <w:pPr>
        <w:pStyle w:val="Heading1"/>
      </w:pPr>
      <w:bookmarkStart w:id="41" w:name="_Toc363131921"/>
      <w:r>
        <w:lastRenderedPageBreak/>
        <w:t>Findings and Recommendations</w:t>
      </w:r>
      <w:bookmarkEnd w:id="41"/>
      <w:r>
        <w:t xml:space="preserve"> </w:t>
      </w:r>
    </w:p>
    <w:p w14:paraId="012948BD" w14:textId="77777777" w:rsidR="001B505E" w:rsidRDefault="001B505E" w:rsidP="00CF687B">
      <w:r>
        <w:t xml:space="preserve">Navigant offers the following findings and recommendations to Nicor Gas from this study: </w:t>
      </w:r>
    </w:p>
    <w:p w14:paraId="012948BE" w14:textId="77777777" w:rsidR="001B505E" w:rsidRDefault="001B505E" w:rsidP="00CF687B"/>
    <w:p w14:paraId="012948BF" w14:textId="77777777" w:rsidR="00515924" w:rsidRDefault="001B505E" w:rsidP="00CF687B">
      <w:r>
        <w:rPr>
          <w:b/>
        </w:rPr>
        <w:t xml:space="preserve">Finding. </w:t>
      </w:r>
      <w:r w:rsidR="00D2631A">
        <w:t>Navigant’s</w:t>
      </w:r>
      <w:r>
        <w:t xml:space="preserve"> </w:t>
      </w:r>
      <w:r w:rsidR="00D2631A">
        <w:t>analysis</w:t>
      </w:r>
      <w:r>
        <w:t xml:space="preserve"> showed higher gas heating loads for Nicor Gas HEER participants than previous work estimated. The heating loads and associated savings from this study exceed both the Rider 29 evaluation estimates and the current values in the Illinois TRM for the Chicago area. </w:t>
      </w:r>
    </w:p>
    <w:p w14:paraId="012948C0" w14:textId="77777777" w:rsidR="001B505E" w:rsidRDefault="001B505E" w:rsidP="00CF687B">
      <w:r>
        <w:tab/>
      </w:r>
    </w:p>
    <w:p w14:paraId="012948C1" w14:textId="77777777" w:rsidR="001B505E" w:rsidRDefault="001B505E" w:rsidP="00CF687B">
      <w:r>
        <w:tab/>
      </w:r>
      <w:r>
        <w:rPr>
          <w:b/>
        </w:rPr>
        <w:t xml:space="preserve">Recommendation. </w:t>
      </w:r>
      <w:r>
        <w:t xml:space="preserve">Navigant recommends that Nicor Gas adopt the use of this territory-specific heating load estimate in determining deemed savings estimates for high efficiency furnaces moving forward. </w:t>
      </w:r>
    </w:p>
    <w:p w14:paraId="012948C2" w14:textId="77777777" w:rsidR="001B505E" w:rsidRDefault="001B505E" w:rsidP="00CF687B">
      <w:r>
        <w:tab/>
      </w:r>
      <w:r w:rsidRPr="00CF687B">
        <w:rPr>
          <w:b/>
        </w:rPr>
        <w:t>Recommendation.</w:t>
      </w:r>
      <w:r>
        <w:t xml:space="preserve"> Navigant recommends that future versions of the Illinois TRM incorporate the results of this research. </w:t>
      </w:r>
    </w:p>
    <w:p w14:paraId="012948C3" w14:textId="77777777" w:rsidR="001B505E" w:rsidRDefault="001B505E" w:rsidP="00CF687B"/>
    <w:p w14:paraId="012948C4" w14:textId="77777777" w:rsidR="001B505E" w:rsidRDefault="001B505E" w:rsidP="00CF687B">
      <w:r>
        <w:rPr>
          <w:b/>
        </w:rPr>
        <w:t xml:space="preserve">Finding. </w:t>
      </w:r>
      <w:r>
        <w:t xml:space="preserve">Navigant observed that three of the 39 on-site participants had purchased two new furnaces through the program. Several other on-site homes also had second furnaces of varying ages and levels of use. Since Navigant sampled at the furnace level and not the home level, these two-furnace homes generally had lower ratios of metered to billed consumption (one furnace metered, but billing data reflects both furnaces). </w:t>
      </w:r>
      <w:r w:rsidR="00C00E60">
        <w:t xml:space="preserve">This means that the new furnaces in these homes typically consume—and therefore save—less than an average unit installed in a single-furnace home. </w:t>
      </w:r>
    </w:p>
    <w:p w14:paraId="012948C5" w14:textId="77777777" w:rsidR="001B505E" w:rsidRDefault="00A26181" w:rsidP="00CF687B">
      <w:r>
        <w:rPr>
          <w:b/>
        </w:rPr>
        <w:tab/>
      </w:r>
      <w:r w:rsidR="001B505E">
        <w:rPr>
          <w:b/>
        </w:rPr>
        <w:t xml:space="preserve">Recommendation. </w:t>
      </w:r>
      <w:r w:rsidR="001B505E">
        <w:t xml:space="preserve">Nicor Gas may want to consider adding a checkbox </w:t>
      </w:r>
      <w:r w:rsidR="00D2631A">
        <w:t xml:space="preserve">on the program application </w:t>
      </w:r>
      <w:r w:rsidR="001B505E">
        <w:t>for “more than one furnace” or a field for “number of furnaces” to collect additional da</w:t>
      </w:r>
      <w:r>
        <w:t>ta on how many furnaces participant homes typically have</w:t>
      </w:r>
      <w:r w:rsidR="00B301EA">
        <w:t xml:space="preserve">. </w:t>
      </w:r>
      <w:r w:rsidR="00C00E60">
        <w:t xml:space="preserve">Navigant was not able to stratify the sample based on number of furnaces since there was no data for the billing analysis-only portion of the sample on number of furnaces. With this information, Nicor Gas could improve its knowledge of how many two-furnace homes are installing new units (and potentially achieving below average savings), and could also improve the ability of future studies to investigate the difference between savings from units installed in one-furnace homes and two-furnace homes. </w:t>
      </w:r>
    </w:p>
    <w:p w14:paraId="012948C6" w14:textId="77777777" w:rsidR="00CF687B" w:rsidRDefault="00CF687B" w:rsidP="00CF687B">
      <w:pPr>
        <w:rPr>
          <w:b/>
        </w:rPr>
      </w:pPr>
    </w:p>
    <w:p w14:paraId="012948C7" w14:textId="77777777" w:rsidR="00C00E60" w:rsidRDefault="00C00E60" w:rsidP="00CF687B">
      <w:r>
        <w:rPr>
          <w:b/>
        </w:rPr>
        <w:t xml:space="preserve">Finding. </w:t>
      </w:r>
      <w:r>
        <w:t xml:space="preserve">The </w:t>
      </w:r>
      <w:r w:rsidR="004A1608">
        <w:t>good</w:t>
      </w:r>
      <w:r>
        <w:t xml:space="preserve"> relative precision for the study overall and in particular for the ratio of metered to billed consumption estimates show that the billing data disaggregation analysis provided a strong indicator of actual heating consumption. </w:t>
      </w:r>
      <w:r w:rsidR="0047743E">
        <w:t xml:space="preserve">This means that for this type of research, the double ratio nested sampling approach can be an efficient means of </w:t>
      </w:r>
      <w:r w:rsidR="00A1465C">
        <w:t xml:space="preserve">providing statistically significant results with relatively small on-site samples. </w:t>
      </w:r>
    </w:p>
    <w:p w14:paraId="012948C8" w14:textId="77777777" w:rsidR="00A1465C" w:rsidRPr="00A1465C" w:rsidRDefault="00CF687B" w:rsidP="00CF687B">
      <w:r>
        <w:rPr>
          <w:b/>
        </w:rPr>
        <w:tab/>
      </w:r>
      <w:r w:rsidR="00A1465C">
        <w:rPr>
          <w:b/>
        </w:rPr>
        <w:t xml:space="preserve">Recommendation. </w:t>
      </w:r>
      <w:r w:rsidR="00A1465C">
        <w:t>Navigant recommends considering using a similar statistical approach for future field research where app</w:t>
      </w:r>
      <w:r>
        <w:t>ropriate</w:t>
      </w:r>
      <w:r w:rsidR="00A1465C">
        <w:t xml:space="preserve">. </w:t>
      </w:r>
    </w:p>
    <w:p w14:paraId="012948C9" w14:textId="77777777" w:rsidR="00341F22" w:rsidRDefault="00341F22" w:rsidP="00CF687B">
      <w:pPr>
        <w:rPr>
          <w:b/>
        </w:rPr>
        <w:sectPr w:rsidR="00341F22">
          <w:pgSz w:w="12240" w:h="15840"/>
          <w:pgMar w:top="1440" w:right="1440" w:bottom="1440" w:left="1440" w:header="720" w:footer="720" w:gutter="0"/>
          <w:cols w:space="720"/>
          <w:docGrid w:linePitch="360"/>
        </w:sectPr>
      </w:pPr>
    </w:p>
    <w:p w14:paraId="012948CA" w14:textId="77777777" w:rsidR="006E0D96" w:rsidRPr="006E0D96" w:rsidRDefault="00762042" w:rsidP="006E0D96">
      <w:pPr>
        <w:pStyle w:val="Heading1"/>
      </w:pPr>
      <w:bookmarkStart w:id="42" w:name="_Toc363131922"/>
      <w:bookmarkStart w:id="43" w:name="_Ref362511097"/>
      <w:r>
        <w:lastRenderedPageBreak/>
        <w:t>A</w:t>
      </w:r>
      <w:r w:rsidRPr="0079312D">
        <w:t>ppendi</w:t>
      </w:r>
      <w:r>
        <w:t>ces</w:t>
      </w:r>
      <w:bookmarkEnd w:id="42"/>
    </w:p>
    <w:p w14:paraId="012948CB" w14:textId="77777777" w:rsidR="00AE0D1A" w:rsidRPr="0079312D" w:rsidRDefault="00AE0D1A" w:rsidP="0079312D">
      <w:pPr>
        <w:pStyle w:val="Heading2"/>
      </w:pPr>
      <w:bookmarkStart w:id="44" w:name="_Ref363080036"/>
      <w:bookmarkStart w:id="45" w:name="_Toc363131923"/>
      <w:r w:rsidRPr="0079312D">
        <w:t>Disaggregation Methodology</w:t>
      </w:r>
      <w:bookmarkEnd w:id="43"/>
      <w:bookmarkEnd w:id="44"/>
      <w:bookmarkEnd w:id="45"/>
    </w:p>
    <w:p w14:paraId="012948CC" w14:textId="77777777" w:rsidR="00AE0D1A" w:rsidRDefault="00AE0D1A" w:rsidP="00AE0D1A">
      <w:pPr>
        <w:rPr>
          <w:snapToGrid w:val="0"/>
        </w:rPr>
      </w:pPr>
      <w:r>
        <w:rPr>
          <w:snapToGrid w:val="0"/>
        </w:rPr>
        <w:t>Navigant constructed a disaggregation tool to separate the heating and non-heating portion of the post-installation consumption data using the following steps:</w:t>
      </w:r>
    </w:p>
    <w:p w14:paraId="012948CD" w14:textId="77777777" w:rsidR="00AE0D1A" w:rsidRDefault="00AE0D1A" w:rsidP="00AE0D1A"/>
    <w:p w14:paraId="012948CE" w14:textId="77777777" w:rsidR="00AE0D1A" w:rsidRPr="0079312D" w:rsidRDefault="00AE0D1A" w:rsidP="0079312D">
      <w:pPr>
        <w:pStyle w:val="ListParagraph"/>
        <w:numPr>
          <w:ilvl w:val="0"/>
          <w:numId w:val="11"/>
        </w:numPr>
        <w:spacing w:after="200" w:line="276" w:lineRule="auto"/>
        <w:rPr>
          <w:sz w:val="20"/>
          <w:szCs w:val="20"/>
        </w:rPr>
      </w:pPr>
      <w:r w:rsidRPr="0079312D">
        <w:rPr>
          <w:sz w:val="20"/>
          <w:szCs w:val="20"/>
        </w:rPr>
        <w:t>Estimate non-heating loads by month using:</w:t>
      </w:r>
    </w:p>
    <w:p w14:paraId="012948CF" w14:textId="77777777" w:rsidR="00AE0D1A" w:rsidRPr="0079312D" w:rsidRDefault="00AE0D1A" w:rsidP="0079312D">
      <w:pPr>
        <w:pStyle w:val="ListParagraph"/>
        <w:numPr>
          <w:ilvl w:val="1"/>
          <w:numId w:val="11"/>
        </w:numPr>
        <w:spacing w:after="200" w:line="276" w:lineRule="auto"/>
        <w:rPr>
          <w:sz w:val="20"/>
          <w:szCs w:val="20"/>
        </w:rPr>
      </w:pPr>
      <w:r w:rsidRPr="0079312D">
        <w:rPr>
          <w:sz w:val="20"/>
          <w:szCs w:val="20"/>
        </w:rPr>
        <w:t>Building America inputs (i.e. load shapes and input capacities of non-heating gas appliances)</w:t>
      </w:r>
      <w:r w:rsidRPr="0079312D">
        <w:rPr>
          <w:rStyle w:val="FootnoteReference"/>
          <w:sz w:val="20"/>
          <w:szCs w:val="20"/>
        </w:rPr>
        <w:footnoteReference w:id="16"/>
      </w:r>
    </w:p>
    <w:p w14:paraId="012948D0" w14:textId="77777777" w:rsidR="00AE0D1A" w:rsidRPr="0079312D" w:rsidRDefault="00AE0D1A" w:rsidP="0079312D">
      <w:pPr>
        <w:pStyle w:val="ListParagraph"/>
        <w:numPr>
          <w:ilvl w:val="1"/>
          <w:numId w:val="11"/>
        </w:numPr>
        <w:spacing w:after="200" w:line="276" w:lineRule="auto"/>
        <w:rPr>
          <w:sz w:val="20"/>
          <w:szCs w:val="20"/>
        </w:rPr>
      </w:pPr>
      <w:r w:rsidRPr="0079312D">
        <w:rPr>
          <w:sz w:val="20"/>
          <w:szCs w:val="20"/>
        </w:rPr>
        <w:t>Installation rates of gas non-heating appliances based on Bass &amp; Company Potential Study</w:t>
      </w:r>
      <w:r w:rsidRPr="0079312D">
        <w:rPr>
          <w:rStyle w:val="FootnoteReference"/>
          <w:sz w:val="20"/>
          <w:szCs w:val="20"/>
        </w:rPr>
        <w:footnoteReference w:id="17"/>
      </w:r>
    </w:p>
    <w:p w14:paraId="012948D1" w14:textId="77777777" w:rsidR="00AE0D1A" w:rsidRPr="0079312D" w:rsidRDefault="00AE0D1A" w:rsidP="0079312D">
      <w:pPr>
        <w:pStyle w:val="ListParagraph"/>
        <w:numPr>
          <w:ilvl w:val="0"/>
          <w:numId w:val="11"/>
        </w:numPr>
        <w:spacing w:after="200" w:line="276" w:lineRule="auto"/>
        <w:rPr>
          <w:sz w:val="20"/>
          <w:szCs w:val="20"/>
        </w:rPr>
      </w:pPr>
      <w:r w:rsidRPr="0079312D">
        <w:rPr>
          <w:sz w:val="20"/>
          <w:szCs w:val="20"/>
        </w:rPr>
        <w:t xml:space="preserve">Calculate average summer usage based on the mean of participants’ July and August gas consumption. July and August usage are most representative of non-heating only consumption. </w:t>
      </w:r>
    </w:p>
    <w:p w14:paraId="012948D2" w14:textId="77777777" w:rsidR="00AE0D1A" w:rsidRPr="0079312D" w:rsidRDefault="00AE0D1A" w:rsidP="0079312D">
      <w:pPr>
        <w:pStyle w:val="ListParagraph"/>
        <w:numPr>
          <w:ilvl w:val="0"/>
          <w:numId w:val="11"/>
        </w:numPr>
        <w:spacing w:after="200" w:line="276" w:lineRule="auto"/>
        <w:rPr>
          <w:sz w:val="20"/>
          <w:szCs w:val="20"/>
        </w:rPr>
      </w:pPr>
      <w:r w:rsidRPr="0079312D">
        <w:rPr>
          <w:sz w:val="20"/>
          <w:szCs w:val="20"/>
        </w:rPr>
        <w:t xml:space="preserve">Calibrate </w:t>
      </w:r>
      <w:r w:rsidR="00A67D76">
        <w:rPr>
          <w:sz w:val="20"/>
          <w:szCs w:val="20"/>
        </w:rPr>
        <w:t xml:space="preserve">the model’s </w:t>
      </w:r>
      <w:r w:rsidRPr="0079312D">
        <w:rPr>
          <w:sz w:val="20"/>
          <w:szCs w:val="20"/>
        </w:rPr>
        <w:t>non-heating loads to the summer average calculated in Step 2. This step essentially scales the load shape profile to typical summer usage.</w:t>
      </w:r>
    </w:p>
    <w:p w14:paraId="012948D3" w14:textId="77777777" w:rsidR="00AE0D1A" w:rsidRPr="0079312D" w:rsidRDefault="00AE0D1A" w:rsidP="0079312D">
      <w:pPr>
        <w:pStyle w:val="ListParagraph"/>
        <w:numPr>
          <w:ilvl w:val="0"/>
          <w:numId w:val="11"/>
        </w:numPr>
        <w:spacing w:after="200" w:line="276" w:lineRule="auto"/>
        <w:rPr>
          <w:sz w:val="20"/>
          <w:szCs w:val="20"/>
        </w:rPr>
      </w:pPr>
      <w:r w:rsidRPr="0079312D">
        <w:rPr>
          <w:sz w:val="20"/>
          <w:szCs w:val="20"/>
        </w:rPr>
        <w:t xml:space="preserve">Calculate the percentage of heating versus non-heating gas consumption for the post-installation data for each month. </w:t>
      </w:r>
      <w:r w:rsidR="00762042">
        <w:rPr>
          <w:sz w:val="20"/>
          <w:szCs w:val="20"/>
        </w:rPr>
        <w:t>Since</w:t>
      </w:r>
      <w:r w:rsidR="00762042" w:rsidRPr="0079312D">
        <w:rPr>
          <w:sz w:val="20"/>
          <w:szCs w:val="20"/>
        </w:rPr>
        <w:t xml:space="preserve"> </w:t>
      </w:r>
      <w:r w:rsidRPr="0079312D">
        <w:rPr>
          <w:sz w:val="20"/>
          <w:szCs w:val="20"/>
        </w:rPr>
        <w:t>2013</w:t>
      </w:r>
      <w:r w:rsidR="00762042">
        <w:rPr>
          <w:sz w:val="20"/>
          <w:szCs w:val="20"/>
        </w:rPr>
        <w:t xml:space="preserve"> </w:t>
      </w:r>
      <w:r w:rsidRPr="0079312D">
        <w:rPr>
          <w:sz w:val="20"/>
          <w:szCs w:val="20"/>
        </w:rPr>
        <w:t xml:space="preserve">summer billing data is not yet available, Navigant used 2012 summer averages. </w:t>
      </w:r>
    </w:p>
    <w:p w14:paraId="012948D4" w14:textId="77777777" w:rsidR="00AE0D1A" w:rsidRPr="0079312D" w:rsidRDefault="00AE0D1A" w:rsidP="0079312D">
      <w:pPr>
        <w:pStyle w:val="ListParagraph"/>
        <w:numPr>
          <w:ilvl w:val="0"/>
          <w:numId w:val="11"/>
        </w:numPr>
        <w:spacing w:after="200" w:line="276" w:lineRule="auto"/>
        <w:rPr>
          <w:sz w:val="20"/>
          <w:szCs w:val="20"/>
        </w:rPr>
      </w:pPr>
      <w:r w:rsidRPr="0079312D">
        <w:rPr>
          <w:sz w:val="20"/>
          <w:szCs w:val="20"/>
        </w:rPr>
        <w:t>Apply the heating percentages by month to each participant’s usage to disaggregate the heating portion of the gas consumption data. This calculation is summarized in the following algorithm:</w:t>
      </w:r>
    </w:p>
    <w:p w14:paraId="012948D5" w14:textId="77777777" w:rsidR="00AE0D1A" w:rsidRDefault="00AE0D1A" w:rsidP="00AE0D1A">
      <w:pPr>
        <w:pStyle w:val="ListParagraph"/>
        <w:spacing w:after="200" w:line="276" w:lineRule="auto"/>
      </w:pPr>
      <w:r>
        <w:t xml:space="preserve"> </w:t>
      </w:r>
    </w:p>
    <w:p w14:paraId="012948D6" w14:textId="77777777" w:rsidR="00AE0D1A" w:rsidRDefault="005C5BA2" w:rsidP="00AE0D1A">
      <w:pPr>
        <w:pStyle w:val="ListParagraph"/>
        <w:rPr>
          <w:rFonts w:eastAsiaTheme="minorEastAsia"/>
          <w:szCs w:val="20"/>
        </w:rPr>
      </w:pPr>
      <m:oMathPara>
        <m:oMath>
          <m:sSub>
            <m:sSubPr>
              <m:ctrlPr>
                <w:rPr>
                  <w:rFonts w:ascii="Cambria Math" w:hAnsi="Cambria Math"/>
                  <w:i/>
                </w:rPr>
              </m:ctrlPr>
            </m:sSubPr>
            <m:e>
              <m:r>
                <w:rPr>
                  <w:rFonts w:ascii="Cambria Math" w:hAnsi="Cambria Math"/>
                  <w:szCs w:val="20"/>
                </w:rPr>
                <m:t>HPF</m:t>
              </m:r>
            </m:e>
            <m:sub>
              <m:r>
                <w:rPr>
                  <w:rFonts w:ascii="Cambria Math" w:hAnsi="Cambria Math"/>
                  <w:szCs w:val="20"/>
                </w:rPr>
                <m:t>i,j</m:t>
              </m:r>
            </m:sub>
          </m:sSub>
          <m:r>
            <w:rPr>
              <w:rFonts w:ascii="Cambria Math" w:hAnsi="Cambria Math"/>
              <w:szCs w:val="20"/>
            </w:rPr>
            <m:t xml:space="preserve">= </m:t>
          </m:r>
          <m:f>
            <m:fPr>
              <m:ctrlPr>
                <w:rPr>
                  <w:rFonts w:ascii="Cambria Math" w:eastAsiaTheme="minorEastAsia" w:hAnsi="Cambria Math"/>
                  <w:i/>
                </w:rPr>
              </m:ctrlPr>
            </m:fPr>
            <m:num>
              <m:f>
                <m:fPr>
                  <m:ctrlPr>
                    <w:rPr>
                      <w:rFonts w:ascii="Cambria Math" w:eastAsiaTheme="minorEastAsia" w:hAnsi="Cambria Math"/>
                      <w:i/>
                    </w:rPr>
                  </m:ctrlPr>
                </m:fPr>
                <m:num>
                  <m:nary>
                    <m:naryPr>
                      <m:chr m:val="∑"/>
                      <m:limLoc m:val="undOvr"/>
                      <m:ctrlPr>
                        <w:rPr>
                          <w:rFonts w:ascii="Cambria Math" w:eastAsiaTheme="minorEastAsia" w:hAnsi="Cambria Math"/>
                          <w:i/>
                        </w:rPr>
                      </m:ctrlPr>
                    </m:naryPr>
                    <m:sub>
                      <m:r>
                        <w:rPr>
                          <w:rFonts w:ascii="Cambria Math" w:eastAsiaTheme="minorEastAsia" w:hAnsi="Cambria Math"/>
                          <w:szCs w:val="20"/>
                        </w:rPr>
                        <m:t>1</m:t>
                      </m:r>
                    </m:sub>
                    <m:sup>
                      <m:r>
                        <w:rPr>
                          <w:rFonts w:ascii="Cambria Math" w:eastAsiaTheme="minorEastAsia" w:hAnsi="Cambria Math"/>
                          <w:szCs w:val="20"/>
                        </w:rPr>
                        <m:t>k</m:t>
                      </m:r>
                    </m:sup>
                    <m:e>
                      <m:sSub>
                        <m:sSubPr>
                          <m:ctrlPr>
                            <w:rPr>
                              <w:rFonts w:ascii="Cambria Math" w:eastAsiaTheme="minorEastAsia" w:hAnsi="Cambria Math"/>
                              <w:i/>
                            </w:rPr>
                          </m:ctrlPr>
                        </m:sSubPr>
                        <m:e>
                          <m:r>
                            <w:rPr>
                              <w:rFonts w:ascii="Cambria Math" w:eastAsiaTheme="minorEastAsia" w:hAnsi="Cambria Math"/>
                              <w:szCs w:val="20"/>
                            </w:rPr>
                            <m:t>C</m:t>
                          </m:r>
                        </m:e>
                        <m:sub>
                          <m:r>
                            <w:rPr>
                              <w:rFonts w:ascii="Cambria Math" w:eastAsiaTheme="minorEastAsia" w:hAnsi="Cambria Math"/>
                              <w:szCs w:val="20"/>
                            </w:rPr>
                            <m:t>i,j,k</m:t>
                          </m:r>
                        </m:sub>
                      </m:sSub>
                    </m:e>
                  </m:nary>
                </m:num>
                <m:den>
                  <m:r>
                    <w:rPr>
                      <w:rFonts w:ascii="Cambria Math" w:eastAsiaTheme="minorEastAsia" w:hAnsi="Cambria Math"/>
                      <w:szCs w:val="20"/>
                    </w:rPr>
                    <m:t>k</m:t>
                  </m:r>
                </m:den>
              </m:f>
              <m:r>
                <w:rPr>
                  <w:rFonts w:ascii="Cambria Math" w:eastAsiaTheme="minorEastAsia" w:hAnsi="Cambria Math"/>
                  <w:szCs w:val="20"/>
                </w:rPr>
                <m:t>-</m:t>
              </m:r>
              <m:sSub>
                <m:sSubPr>
                  <m:ctrlPr>
                    <w:rPr>
                      <w:rFonts w:ascii="Cambria Math" w:eastAsiaTheme="minorEastAsia" w:hAnsi="Cambria Math"/>
                      <w:i/>
                    </w:rPr>
                  </m:ctrlPr>
                </m:sSubPr>
                <m:e>
                  <m:r>
                    <w:rPr>
                      <w:rFonts w:ascii="Cambria Math" w:eastAsiaTheme="minorEastAsia" w:hAnsi="Cambria Math"/>
                      <w:szCs w:val="20"/>
                    </w:rPr>
                    <m:t>C</m:t>
                  </m:r>
                </m:e>
                <m:sub>
                  <m:r>
                    <w:rPr>
                      <w:rFonts w:ascii="Cambria Math" w:eastAsiaTheme="minorEastAsia" w:hAnsi="Cambria Math"/>
                      <w:szCs w:val="20"/>
                    </w:rPr>
                    <m:t>i,j,k</m:t>
                  </m:r>
                </m:sub>
              </m:sSub>
              <m:r>
                <w:rPr>
                  <w:rFonts w:ascii="Cambria Math" w:eastAsiaTheme="minorEastAsia" w:hAnsi="Cambria Math"/>
                  <w:szCs w:val="20"/>
                </w:rPr>
                <m:t>*</m:t>
              </m:r>
              <m:sSub>
                <m:sSubPr>
                  <m:ctrlPr>
                    <w:rPr>
                      <w:rFonts w:ascii="Cambria Math" w:eastAsiaTheme="minorEastAsia" w:hAnsi="Cambria Math"/>
                      <w:i/>
                    </w:rPr>
                  </m:ctrlPr>
                </m:sSubPr>
                <m:e>
                  <m:sSub>
                    <m:sSubPr>
                      <m:ctrlPr>
                        <w:rPr>
                          <w:rFonts w:ascii="Cambria Math" w:eastAsiaTheme="minorEastAsia" w:hAnsi="Cambria Math"/>
                          <w:i/>
                        </w:rPr>
                      </m:ctrlPr>
                    </m:sSubPr>
                    <m:e>
                      <m:r>
                        <w:rPr>
                          <w:rFonts w:ascii="Cambria Math" w:eastAsiaTheme="minorEastAsia" w:hAnsi="Cambria Math"/>
                          <w:szCs w:val="20"/>
                        </w:rPr>
                        <m:t>(C</m:t>
                      </m:r>
                    </m:e>
                    <m:sub>
                      <m:r>
                        <w:rPr>
                          <w:rFonts w:ascii="Cambria Math" w:eastAsiaTheme="minorEastAsia" w:hAnsi="Cambria Math"/>
                          <w:szCs w:val="20"/>
                        </w:rPr>
                        <m:t>non-heating</m:t>
                      </m:r>
                    </m:sub>
                  </m:sSub>
                  <m:r>
                    <w:rPr>
                      <w:rFonts w:ascii="Cambria Math" w:eastAsiaTheme="minorEastAsia" w:hAnsi="Cambria Math"/>
                      <w:szCs w:val="20"/>
                    </w:rPr>
                    <m:t>)</m:t>
                  </m:r>
                </m:e>
                <m:sub>
                  <m:r>
                    <w:rPr>
                      <w:rFonts w:ascii="Cambria Math" w:eastAsiaTheme="minorEastAsia" w:hAnsi="Cambria Math"/>
                      <w:szCs w:val="20"/>
                    </w:rPr>
                    <m:t>i,j</m:t>
                  </m:r>
                </m:sub>
              </m:sSub>
            </m:num>
            <m:den>
              <m:f>
                <m:fPr>
                  <m:ctrlPr>
                    <w:rPr>
                      <w:rFonts w:ascii="Cambria Math" w:eastAsiaTheme="minorEastAsia" w:hAnsi="Cambria Math"/>
                      <w:i/>
                    </w:rPr>
                  </m:ctrlPr>
                </m:fPr>
                <m:num>
                  <m:nary>
                    <m:naryPr>
                      <m:chr m:val="∑"/>
                      <m:limLoc m:val="undOvr"/>
                      <m:ctrlPr>
                        <w:rPr>
                          <w:rFonts w:ascii="Cambria Math" w:eastAsiaTheme="minorEastAsia" w:hAnsi="Cambria Math"/>
                          <w:i/>
                        </w:rPr>
                      </m:ctrlPr>
                    </m:naryPr>
                    <m:sub>
                      <m:r>
                        <w:rPr>
                          <w:rFonts w:ascii="Cambria Math" w:eastAsiaTheme="minorEastAsia" w:hAnsi="Cambria Math"/>
                          <w:szCs w:val="20"/>
                        </w:rPr>
                        <m:t>1</m:t>
                      </m:r>
                    </m:sub>
                    <m:sup>
                      <m:r>
                        <w:rPr>
                          <w:rFonts w:ascii="Cambria Math" w:eastAsiaTheme="minorEastAsia" w:hAnsi="Cambria Math"/>
                          <w:szCs w:val="20"/>
                        </w:rPr>
                        <m:t>k</m:t>
                      </m:r>
                    </m:sup>
                    <m:e>
                      <m:sSub>
                        <m:sSubPr>
                          <m:ctrlPr>
                            <w:rPr>
                              <w:rFonts w:ascii="Cambria Math" w:eastAsiaTheme="minorEastAsia" w:hAnsi="Cambria Math"/>
                              <w:i/>
                            </w:rPr>
                          </m:ctrlPr>
                        </m:sSubPr>
                        <m:e>
                          <m:r>
                            <w:rPr>
                              <w:rFonts w:ascii="Cambria Math" w:eastAsiaTheme="minorEastAsia" w:hAnsi="Cambria Math"/>
                              <w:szCs w:val="20"/>
                            </w:rPr>
                            <m:t>C</m:t>
                          </m:r>
                        </m:e>
                        <m:sub>
                          <m:r>
                            <w:rPr>
                              <w:rFonts w:ascii="Cambria Math" w:eastAsiaTheme="minorEastAsia" w:hAnsi="Cambria Math"/>
                              <w:szCs w:val="20"/>
                            </w:rPr>
                            <m:t>i,j,k</m:t>
                          </m:r>
                        </m:sub>
                      </m:sSub>
                    </m:e>
                  </m:nary>
                </m:num>
                <m:den>
                  <m:r>
                    <w:rPr>
                      <w:rFonts w:ascii="Cambria Math" w:eastAsiaTheme="minorEastAsia" w:hAnsi="Cambria Math"/>
                      <w:szCs w:val="20"/>
                    </w:rPr>
                    <m:t>k</m:t>
                  </m:r>
                </m:den>
              </m:f>
            </m:den>
          </m:f>
        </m:oMath>
      </m:oMathPara>
    </w:p>
    <w:p w14:paraId="012948D7" w14:textId="77777777" w:rsidR="00AE0D1A" w:rsidRDefault="00AE0D1A" w:rsidP="00AE0D1A">
      <w:pPr>
        <w:pStyle w:val="ListParagraph"/>
        <w:rPr>
          <w:rFonts w:eastAsiaTheme="minorEastAsia"/>
          <w:szCs w:val="20"/>
        </w:rPr>
      </w:pPr>
    </w:p>
    <w:p w14:paraId="012948D8" w14:textId="77777777" w:rsidR="00AE0D1A" w:rsidRDefault="00AE0D1A" w:rsidP="00AE0D1A">
      <w:pPr>
        <w:pStyle w:val="Caption"/>
        <w:rPr>
          <w:rFonts w:eastAsia="Times New Roman"/>
          <w:szCs w:val="20"/>
        </w:rPr>
      </w:pPr>
      <w:bookmarkStart w:id="46" w:name="_Toc346786574"/>
      <w:bookmarkStart w:id="47" w:name="_Toc363131940"/>
      <w:r>
        <w:lastRenderedPageBreak/>
        <w:t xml:space="preserve">Table </w:t>
      </w:r>
      <w:fldSimple w:instr=" STYLEREF 1 \s ">
        <w:r w:rsidR="00CF687B">
          <w:rPr>
            <w:noProof/>
          </w:rPr>
          <w:t>4</w:t>
        </w:r>
      </w:fldSimple>
      <w:r w:rsidR="00375470">
        <w:noBreakHyphen/>
      </w:r>
      <w:fldSimple w:instr=" SEQ Table \* ARABIC \s 1 ">
        <w:r w:rsidR="00CF687B">
          <w:rPr>
            <w:noProof/>
          </w:rPr>
          <w:t>1</w:t>
        </w:r>
      </w:fldSimple>
      <w:r>
        <w:t>. Heating Percentage Factor Inputs</w:t>
      </w:r>
      <w:bookmarkEnd w:id="46"/>
      <w:bookmarkEnd w:id="47"/>
    </w:p>
    <w:tbl>
      <w:tblPr>
        <w:tblStyle w:val="EnergyTable"/>
        <w:tblW w:w="0" w:type="auto"/>
        <w:jc w:val="center"/>
        <w:tblLook w:val="04A0" w:firstRow="1" w:lastRow="0" w:firstColumn="1" w:lastColumn="0" w:noHBand="0" w:noVBand="1"/>
      </w:tblPr>
      <w:tblGrid>
        <w:gridCol w:w="1948"/>
        <w:gridCol w:w="4070"/>
        <w:gridCol w:w="1544"/>
        <w:gridCol w:w="1942"/>
      </w:tblGrid>
      <w:tr w:rsidR="00AE0D1A" w14:paraId="012948DD" w14:textId="77777777" w:rsidTr="00AE0D1A">
        <w:trPr>
          <w:cnfStyle w:val="100000000000" w:firstRow="1" w:lastRow="0" w:firstColumn="0" w:lastColumn="0" w:oddVBand="0" w:evenVBand="0" w:oddHBand="0" w:evenHBand="0"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948" w:type="dxa"/>
            <w:tcBorders>
              <w:top w:val="single" w:sz="8" w:space="0" w:color="DDD9C3"/>
              <w:left w:val="nil"/>
              <w:right w:val="nil"/>
            </w:tcBorders>
            <w:vAlign w:val="center"/>
            <w:hideMark/>
          </w:tcPr>
          <w:p w14:paraId="012948D9" w14:textId="77777777" w:rsidR="00AE0D1A" w:rsidRDefault="00AE0D1A">
            <w:pPr>
              <w:keepNext/>
              <w:keepLines/>
              <w:jc w:val="center"/>
              <w:rPr>
                <w:szCs w:val="20"/>
              </w:rPr>
            </w:pPr>
            <w:r>
              <w:rPr>
                <w:szCs w:val="20"/>
              </w:rPr>
              <w:t>Parameter</w:t>
            </w:r>
          </w:p>
        </w:tc>
        <w:tc>
          <w:tcPr>
            <w:tcW w:w="4070" w:type="dxa"/>
            <w:tcBorders>
              <w:top w:val="single" w:sz="8" w:space="0" w:color="DDD9C3"/>
              <w:left w:val="nil"/>
              <w:right w:val="nil"/>
            </w:tcBorders>
            <w:vAlign w:val="center"/>
            <w:hideMark/>
          </w:tcPr>
          <w:p w14:paraId="012948DA" w14:textId="77777777" w:rsidR="00AE0D1A" w:rsidRDefault="00AE0D1A">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Description</w:t>
            </w:r>
          </w:p>
        </w:tc>
        <w:tc>
          <w:tcPr>
            <w:tcW w:w="1544" w:type="dxa"/>
            <w:tcBorders>
              <w:top w:val="single" w:sz="8" w:space="0" w:color="DDD9C3"/>
              <w:left w:val="nil"/>
              <w:right w:val="nil"/>
            </w:tcBorders>
            <w:vAlign w:val="center"/>
            <w:hideMark/>
          </w:tcPr>
          <w:p w14:paraId="012948DB" w14:textId="77777777" w:rsidR="00AE0D1A" w:rsidRDefault="00AE0D1A">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Units</w:t>
            </w:r>
          </w:p>
        </w:tc>
        <w:tc>
          <w:tcPr>
            <w:tcW w:w="1942" w:type="dxa"/>
            <w:tcBorders>
              <w:top w:val="single" w:sz="8" w:space="0" w:color="DDD9C3"/>
              <w:left w:val="nil"/>
              <w:right w:val="nil"/>
            </w:tcBorders>
            <w:vAlign w:val="center"/>
            <w:hideMark/>
          </w:tcPr>
          <w:p w14:paraId="012948DC" w14:textId="77777777" w:rsidR="00AE0D1A" w:rsidRDefault="00AE0D1A">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Source</w:t>
            </w:r>
          </w:p>
        </w:tc>
      </w:tr>
      <w:tr w:rsidR="00AE0D1A" w14:paraId="012948E2" w14:textId="77777777" w:rsidTr="00AE0D1A">
        <w:trPr>
          <w:cantSplit/>
          <w:jc w:val="center"/>
        </w:trPr>
        <w:tc>
          <w:tcPr>
            <w:cnfStyle w:val="001000000000" w:firstRow="0" w:lastRow="0" w:firstColumn="1" w:lastColumn="0" w:oddVBand="0" w:evenVBand="0" w:oddHBand="0" w:evenHBand="0" w:firstRowFirstColumn="0" w:firstRowLastColumn="0" w:lastRowFirstColumn="0" w:lastRowLastColumn="0"/>
            <w:tcW w:w="1948" w:type="dxa"/>
            <w:tcBorders>
              <w:top w:val="single" w:sz="8" w:space="0" w:color="DDD9C3"/>
              <w:left w:val="nil"/>
              <w:bottom w:val="single" w:sz="8" w:space="0" w:color="DDD9C3"/>
              <w:right w:val="nil"/>
            </w:tcBorders>
            <w:vAlign w:val="center"/>
            <w:hideMark/>
          </w:tcPr>
          <w:p w14:paraId="012948DE" w14:textId="77777777" w:rsidR="00AE0D1A" w:rsidRDefault="00AE0D1A">
            <w:pPr>
              <w:keepNext/>
              <w:keepLines/>
              <w:jc w:val="center"/>
              <w:rPr>
                <w:rFonts w:ascii="Calibri" w:eastAsia="Calibri" w:hAnsi="Calibri"/>
                <w:szCs w:val="20"/>
              </w:rPr>
            </w:pPr>
            <m:oMathPara>
              <m:oMath>
                <m:r>
                  <w:rPr>
                    <w:rFonts w:ascii="Cambria Math" w:eastAsia="Calibri" w:hAnsi="Cambria Math"/>
                    <w:szCs w:val="20"/>
                  </w:rPr>
                  <m:t>i</m:t>
                </m:r>
              </m:oMath>
            </m:oMathPara>
          </w:p>
        </w:tc>
        <w:tc>
          <w:tcPr>
            <w:tcW w:w="4070" w:type="dxa"/>
            <w:tcBorders>
              <w:top w:val="single" w:sz="8" w:space="0" w:color="DDD9C3"/>
              <w:left w:val="nil"/>
              <w:bottom w:val="single" w:sz="8" w:space="0" w:color="DDD9C3"/>
              <w:right w:val="nil"/>
            </w:tcBorders>
            <w:hideMark/>
          </w:tcPr>
          <w:p w14:paraId="012948DF" w14:textId="77777777" w:rsidR="00AE0D1A" w:rsidRDefault="00AE0D1A">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Subscript to specify month (i=1,2,…,12)</w:t>
            </w:r>
          </w:p>
        </w:tc>
        <w:tc>
          <w:tcPr>
            <w:tcW w:w="1544" w:type="dxa"/>
            <w:tcBorders>
              <w:top w:val="single" w:sz="8" w:space="0" w:color="DDD9C3"/>
              <w:left w:val="nil"/>
              <w:bottom w:val="single" w:sz="8" w:space="0" w:color="DDD9C3"/>
              <w:right w:val="nil"/>
            </w:tcBorders>
            <w:vAlign w:val="center"/>
            <w:hideMark/>
          </w:tcPr>
          <w:p w14:paraId="012948E0"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szCs w:val="20"/>
              </w:rPr>
            </w:pPr>
            <m:oMathPara>
              <m:oMath>
                <m:r>
                  <w:rPr>
                    <w:rFonts w:ascii="Cambria Math" w:eastAsia="Calibri" w:hAnsi="Cambria Math"/>
                    <w:szCs w:val="20"/>
                  </w:rPr>
                  <m:t>-</m:t>
                </m:r>
              </m:oMath>
            </m:oMathPara>
          </w:p>
        </w:tc>
        <w:tc>
          <w:tcPr>
            <w:tcW w:w="1942" w:type="dxa"/>
            <w:tcBorders>
              <w:top w:val="single" w:sz="8" w:space="0" w:color="DDD9C3"/>
              <w:left w:val="nil"/>
              <w:bottom w:val="single" w:sz="8" w:space="0" w:color="DDD9C3"/>
              <w:right w:val="nil"/>
            </w:tcBorders>
            <w:vAlign w:val="center"/>
            <w:hideMark/>
          </w:tcPr>
          <w:p w14:paraId="012948E1"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N/A</w:t>
            </w:r>
          </w:p>
        </w:tc>
      </w:tr>
      <w:tr w:rsidR="00AE0D1A" w14:paraId="012948E7" w14:textId="77777777" w:rsidTr="00AE0D1A">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948" w:type="dxa"/>
            <w:tcBorders>
              <w:top w:val="single" w:sz="8" w:space="0" w:color="DDD9C3"/>
              <w:left w:val="nil"/>
              <w:bottom w:val="single" w:sz="8" w:space="0" w:color="DDD9C3"/>
              <w:right w:val="nil"/>
            </w:tcBorders>
            <w:vAlign w:val="center"/>
            <w:hideMark/>
          </w:tcPr>
          <w:p w14:paraId="012948E3" w14:textId="77777777" w:rsidR="00AE0D1A" w:rsidRDefault="00AE0D1A">
            <w:pPr>
              <w:keepNext/>
              <w:keepLines/>
              <w:jc w:val="center"/>
              <w:rPr>
                <w:rFonts w:ascii="Calibri" w:eastAsia="Calibri" w:hAnsi="Calibri"/>
                <w:szCs w:val="20"/>
              </w:rPr>
            </w:pPr>
            <m:oMathPara>
              <m:oMath>
                <m:r>
                  <w:rPr>
                    <w:rFonts w:ascii="Cambria Math" w:eastAsia="Calibri" w:hAnsi="Cambria Math"/>
                    <w:szCs w:val="20"/>
                  </w:rPr>
                  <m:t>j</m:t>
                </m:r>
              </m:oMath>
            </m:oMathPara>
          </w:p>
        </w:tc>
        <w:tc>
          <w:tcPr>
            <w:tcW w:w="4070" w:type="dxa"/>
            <w:tcBorders>
              <w:top w:val="single" w:sz="8" w:space="0" w:color="DDD9C3"/>
              <w:left w:val="nil"/>
              <w:bottom w:val="single" w:sz="8" w:space="0" w:color="DDD9C3"/>
              <w:right w:val="nil"/>
            </w:tcBorders>
            <w:hideMark/>
          </w:tcPr>
          <w:p w14:paraId="012948E4" w14:textId="77777777" w:rsidR="00AE0D1A" w:rsidRDefault="00AE0D1A">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Subscript to specify year (j=2009,…,2012)</w:t>
            </w:r>
          </w:p>
        </w:tc>
        <w:tc>
          <w:tcPr>
            <w:tcW w:w="1544" w:type="dxa"/>
            <w:tcBorders>
              <w:top w:val="single" w:sz="8" w:space="0" w:color="DDD9C3"/>
              <w:left w:val="nil"/>
              <w:bottom w:val="single" w:sz="8" w:space="0" w:color="DDD9C3"/>
              <w:right w:val="nil"/>
            </w:tcBorders>
            <w:vAlign w:val="center"/>
            <w:hideMark/>
          </w:tcPr>
          <w:p w14:paraId="012948E5"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rFonts w:ascii="Calibri" w:eastAsia="Calibri" w:hAnsi="Calibri"/>
                <w:szCs w:val="20"/>
              </w:rPr>
            </w:pPr>
            <m:oMathPara>
              <m:oMath>
                <m:r>
                  <w:rPr>
                    <w:rFonts w:ascii="Cambria Math" w:eastAsia="Calibri" w:hAnsi="Cambria Math"/>
                    <w:szCs w:val="20"/>
                  </w:rPr>
                  <m:t>-</m:t>
                </m:r>
              </m:oMath>
            </m:oMathPara>
          </w:p>
        </w:tc>
        <w:tc>
          <w:tcPr>
            <w:tcW w:w="1942" w:type="dxa"/>
            <w:tcBorders>
              <w:top w:val="single" w:sz="8" w:space="0" w:color="DDD9C3"/>
              <w:left w:val="nil"/>
              <w:bottom w:val="single" w:sz="8" w:space="0" w:color="DDD9C3"/>
              <w:right w:val="nil"/>
            </w:tcBorders>
            <w:vAlign w:val="center"/>
            <w:hideMark/>
          </w:tcPr>
          <w:p w14:paraId="012948E6"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N/A</w:t>
            </w:r>
          </w:p>
        </w:tc>
      </w:tr>
      <w:tr w:rsidR="00AE0D1A" w14:paraId="012948EC" w14:textId="77777777" w:rsidTr="00AE0D1A">
        <w:trPr>
          <w:cantSplit/>
          <w:jc w:val="center"/>
        </w:trPr>
        <w:tc>
          <w:tcPr>
            <w:cnfStyle w:val="001000000000" w:firstRow="0" w:lastRow="0" w:firstColumn="1" w:lastColumn="0" w:oddVBand="0" w:evenVBand="0" w:oddHBand="0" w:evenHBand="0" w:firstRowFirstColumn="0" w:firstRowLastColumn="0" w:lastRowFirstColumn="0" w:lastRowLastColumn="0"/>
            <w:tcW w:w="1948" w:type="dxa"/>
            <w:tcBorders>
              <w:top w:val="single" w:sz="8" w:space="0" w:color="DDD9C3"/>
              <w:left w:val="nil"/>
              <w:bottom w:val="single" w:sz="8" w:space="0" w:color="DDD9C3"/>
              <w:right w:val="nil"/>
            </w:tcBorders>
            <w:vAlign w:val="center"/>
            <w:hideMark/>
          </w:tcPr>
          <w:p w14:paraId="012948E8" w14:textId="77777777" w:rsidR="00AE0D1A" w:rsidRDefault="00AE0D1A">
            <w:pPr>
              <w:keepNext/>
              <w:keepLines/>
              <w:jc w:val="center"/>
              <w:rPr>
                <w:rFonts w:ascii="Calibri" w:eastAsia="Calibri" w:hAnsi="Calibri"/>
                <w:szCs w:val="20"/>
              </w:rPr>
            </w:pPr>
            <m:oMathPara>
              <m:oMath>
                <m:r>
                  <w:rPr>
                    <w:rFonts w:ascii="Cambria Math" w:eastAsia="Calibri" w:hAnsi="Cambria Math"/>
                    <w:szCs w:val="20"/>
                  </w:rPr>
                  <m:t>k</m:t>
                </m:r>
              </m:oMath>
            </m:oMathPara>
          </w:p>
        </w:tc>
        <w:tc>
          <w:tcPr>
            <w:tcW w:w="4070" w:type="dxa"/>
            <w:tcBorders>
              <w:top w:val="single" w:sz="8" w:space="0" w:color="DDD9C3"/>
              <w:left w:val="nil"/>
              <w:bottom w:val="single" w:sz="8" w:space="0" w:color="DDD9C3"/>
              <w:right w:val="nil"/>
            </w:tcBorders>
            <w:hideMark/>
          </w:tcPr>
          <w:p w14:paraId="012948E9" w14:textId="77777777" w:rsidR="00AE0D1A" w:rsidRDefault="00AE0D1A">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Subscript to specify dataset (k=1,2,…,387)</w:t>
            </w:r>
          </w:p>
        </w:tc>
        <w:tc>
          <w:tcPr>
            <w:tcW w:w="1544" w:type="dxa"/>
            <w:tcBorders>
              <w:top w:val="single" w:sz="8" w:space="0" w:color="DDD9C3"/>
              <w:left w:val="nil"/>
              <w:bottom w:val="single" w:sz="8" w:space="0" w:color="DDD9C3"/>
              <w:right w:val="nil"/>
            </w:tcBorders>
            <w:vAlign w:val="center"/>
            <w:hideMark/>
          </w:tcPr>
          <w:p w14:paraId="012948EA"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szCs w:val="20"/>
              </w:rPr>
            </w:pPr>
            <m:oMathPara>
              <m:oMath>
                <m:r>
                  <w:rPr>
                    <w:rFonts w:ascii="Cambria Math" w:eastAsia="Calibri" w:hAnsi="Cambria Math"/>
                    <w:szCs w:val="20"/>
                  </w:rPr>
                  <m:t>-</m:t>
                </m:r>
              </m:oMath>
            </m:oMathPara>
          </w:p>
        </w:tc>
        <w:tc>
          <w:tcPr>
            <w:tcW w:w="1942" w:type="dxa"/>
            <w:tcBorders>
              <w:top w:val="single" w:sz="8" w:space="0" w:color="DDD9C3"/>
              <w:left w:val="nil"/>
              <w:bottom w:val="single" w:sz="8" w:space="0" w:color="DDD9C3"/>
              <w:right w:val="nil"/>
            </w:tcBorders>
            <w:vAlign w:val="center"/>
            <w:hideMark/>
          </w:tcPr>
          <w:p w14:paraId="012948EB"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Billing data</w:t>
            </w:r>
          </w:p>
        </w:tc>
      </w:tr>
      <w:tr w:rsidR="00AE0D1A" w14:paraId="012948F1" w14:textId="77777777" w:rsidTr="00AE0D1A">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948" w:type="dxa"/>
            <w:tcBorders>
              <w:top w:val="single" w:sz="8" w:space="0" w:color="DDD9C3"/>
              <w:left w:val="nil"/>
              <w:bottom w:val="single" w:sz="8" w:space="0" w:color="DDD9C3"/>
              <w:right w:val="nil"/>
            </w:tcBorders>
            <w:vAlign w:val="center"/>
            <w:hideMark/>
          </w:tcPr>
          <w:p w14:paraId="012948ED" w14:textId="77777777" w:rsidR="00AE0D1A" w:rsidRDefault="005C5BA2">
            <w:pPr>
              <w:keepNext/>
              <w:keepLines/>
              <w:jc w:val="center"/>
              <w:rPr>
                <w:rFonts w:ascii="Calibri" w:eastAsia="Calibri" w:hAnsi="Calibri"/>
                <w:szCs w:val="20"/>
              </w:rPr>
            </w:pPr>
            <m:oMathPara>
              <m:oMath>
                <m:sSub>
                  <m:sSubPr>
                    <m:ctrlPr>
                      <w:rPr>
                        <w:rFonts w:ascii="Cambria Math" w:hAnsi="Cambria Math"/>
                        <w:i/>
                      </w:rPr>
                    </m:ctrlPr>
                  </m:sSubPr>
                  <m:e>
                    <m:r>
                      <w:rPr>
                        <w:rFonts w:ascii="Cambria Math" w:hAnsi="Cambria Math"/>
                        <w:szCs w:val="20"/>
                      </w:rPr>
                      <m:t>HPF</m:t>
                    </m:r>
                  </m:e>
                  <m:sub>
                    <m:r>
                      <w:rPr>
                        <w:rFonts w:ascii="Cambria Math" w:hAnsi="Cambria Math"/>
                        <w:szCs w:val="20"/>
                      </w:rPr>
                      <m:t>i,j</m:t>
                    </m:r>
                  </m:sub>
                </m:sSub>
              </m:oMath>
            </m:oMathPara>
          </w:p>
        </w:tc>
        <w:tc>
          <w:tcPr>
            <w:tcW w:w="4070" w:type="dxa"/>
            <w:tcBorders>
              <w:top w:val="single" w:sz="8" w:space="0" w:color="DDD9C3"/>
              <w:left w:val="nil"/>
              <w:bottom w:val="single" w:sz="8" w:space="0" w:color="DDD9C3"/>
              <w:right w:val="nil"/>
            </w:tcBorders>
            <w:hideMark/>
          </w:tcPr>
          <w:p w14:paraId="012948EE" w14:textId="77777777" w:rsidR="00AE0D1A" w:rsidRDefault="00AE0D1A">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Heating percentage factor: percentage of gas consumption allocated to heating in month i and year j</w:t>
            </w:r>
          </w:p>
        </w:tc>
        <w:tc>
          <w:tcPr>
            <w:tcW w:w="1544" w:type="dxa"/>
            <w:tcBorders>
              <w:top w:val="single" w:sz="8" w:space="0" w:color="DDD9C3"/>
              <w:left w:val="nil"/>
              <w:bottom w:val="single" w:sz="8" w:space="0" w:color="DDD9C3"/>
              <w:right w:val="nil"/>
            </w:tcBorders>
            <w:vAlign w:val="center"/>
            <w:hideMark/>
          </w:tcPr>
          <w:p w14:paraId="012948EF"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rFonts w:ascii="Calibri" w:eastAsia="Calibri" w:hAnsi="Calibri"/>
                <w:szCs w:val="20"/>
              </w:rPr>
            </w:pPr>
            <m:oMathPara>
              <m:oMath>
                <m:r>
                  <w:rPr>
                    <w:rFonts w:ascii="Cambria Math" w:hAnsi="Cambria Math"/>
                    <w:szCs w:val="20"/>
                  </w:rPr>
                  <m:t>%</m:t>
                </m:r>
              </m:oMath>
            </m:oMathPara>
          </w:p>
        </w:tc>
        <w:tc>
          <w:tcPr>
            <w:tcW w:w="1942" w:type="dxa"/>
            <w:tcBorders>
              <w:top w:val="single" w:sz="8" w:space="0" w:color="DDD9C3"/>
              <w:left w:val="nil"/>
              <w:bottom w:val="single" w:sz="8" w:space="0" w:color="DDD9C3"/>
              <w:right w:val="nil"/>
            </w:tcBorders>
            <w:vAlign w:val="center"/>
            <w:hideMark/>
          </w:tcPr>
          <w:p w14:paraId="012948F0"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Calculated</w:t>
            </w:r>
          </w:p>
        </w:tc>
      </w:tr>
      <w:tr w:rsidR="00AE0D1A" w14:paraId="012948F6" w14:textId="77777777" w:rsidTr="00AE0D1A">
        <w:trPr>
          <w:cantSplit/>
          <w:jc w:val="center"/>
        </w:trPr>
        <w:tc>
          <w:tcPr>
            <w:cnfStyle w:val="001000000000" w:firstRow="0" w:lastRow="0" w:firstColumn="1" w:lastColumn="0" w:oddVBand="0" w:evenVBand="0" w:oddHBand="0" w:evenHBand="0" w:firstRowFirstColumn="0" w:firstRowLastColumn="0" w:lastRowFirstColumn="0" w:lastRowLastColumn="0"/>
            <w:tcW w:w="1948" w:type="dxa"/>
            <w:tcBorders>
              <w:top w:val="single" w:sz="8" w:space="0" w:color="DDD9C3"/>
              <w:left w:val="nil"/>
              <w:bottom w:val="single" w:sz="8" w:space="0" w:color="DDD9C3"/>
              <w:right w:val="nil"/>
            </w:tcBorders>
            <w:vAlign w:val="center"/>
            <w:hideMark/>
          </w:tcPr>
          <w:p w14:paraId="012948F2" w14:textId="77777777" w:rsidR="00AE0D1A" w:rsidRDefault="005C5BA2">
            <w:pPr>
              <w:keepNext/>
              <w:keepLines/>
              <w:jc w:val="center"/>
              <w:rPr>
                <w:rFonts w:ascii="Calibri" w:eastAsia="Calibri" w:hAnsi="Calibri"/>
                <w:szCs w:val="20"/>
              </w:rPr>
            </w:pPr>
            <m:oMathPara>
              <m:oMath>
                <m:sSub>
                  <m:sSubPr>
                    <m:ctrlPr>
                      <w:rPr>
                        <w:rFonts w:ascii="Cambria Math" w:eastAsiaTheme="minorEastAsia" w:hAnsi="Cambria Math"/>
                        <w:i/>
                      </w:rPr>
                    </m:ctrlPr>
                  </m:sSubPr>
                  <m:e>
                    <m:r>
                      <w:rPr>
                        <w:rFonts w:ascii="Cambria Math" w:eastAsiaTheme="minorEastAsia" w:hAnsi="Cambria Math"/>
                        <w:szCs w:val="20"/>
                      </w:rPr>
                      <m:t>C</m:t>
                    </m:r>
                  </m:e>
                  <m:sub>
                    <m:r>
                      <w:rPr>
                        <w:rFonts w:ascii="Cambria Math" w:eastAsiaTheme="minorEastAsia" w:hAnsi="Cambria Math"/>
                        <w:szCs w:val="20"/>
                      </w:rPr>
                      <m:t>i,j,k</m:t>
                    </m:r>
                  </m:sub>
                </m:sSub>
              </m:oMath>
            </m:oMathPara>
          </w:p>
        </w:tc>
        <w:tc>
          <w:tcPr>
            <w:tcW w:w="4070" w:type="dxa"/>
            <w:tcBorders>
              <w:top w:val="single" w:sz="8" w:space="0" w:color="DDD9C3"/>
              <w:left w:val="nil"/>
              <w:bottom w:val="single" w:sz="8" w:space="0" w:color="DDD9C3"/>
              <w:right w:val="nil"/>
            </w:tcBorders>
            <w:hideMark/>
          </w:tcPr>
          <w:p w14:paraId="012948F3" w14:textId="77777777" w:rsidR="00AE0D1A" w:rsidRDefault="00AE0D1A">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Total heating and non-heating gas consumed in month i, year j, and dataset k</w:t>
            </w:r>
          </w:p>
        </w:tc>
        <w:tc>
          <w:tcPr>
            <w:tcW w:w="1544" w:type="dxa"/>
            <w:tcBorders>
              <w:top w:val="single" w:sz="8" w:space="0" w:color="DDD9C3"/>
              <w:left w:val="nil"/>
              <w:bottom w:val="single" w:sz="8" w:space="0" w:color="DDD9C3"/>
              <w:right w:val="nil"/>
            </w:tcBorders>
            <w:vAlign w:val="center"/>
            <w:hideMark/>
          </w:tcPr>
          <w:p w14:paraId="012948F4"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szCs w:val="20"/>
              </w:rPr>
            </w:pPr>
            <m:oMathPara>
              <m:oMath>
                <m:r>
                  <w:rPr>
                    <w:rFonts w:ascii="Cambria Math" w:hAnsi="Cambria Math"/>
                    <w:szCs w:val="20"/>
                  </w:rPr>
                  <m:t>Therms/month</m:t>
                </m:r>
              </m:oMath>
            </m:oMathPara>
          </w:p>
        </w:tc>
        <w:tc>
          <w:tcPr>
            <w:tcW w:w="1942" w:type="dxa"/>
            <w:tcBorders>
              <w:top w:val="single" w:sz="8" w:space="0" w:color="DDD9C3"/>
              <w:left w:val="nil"/>
              <w:bottom w:val="single" w:sz="8" w:space="0" w:color="DDD9C3"/>
              <w:right w:val="nil"/>
            </w:tcBorders>
            <w:vAlign w:val="center"/>
            <w:hideMark/>
          </w:tcPr>
          <w:p w14:paraId="012948F5"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Billing data</w:t>
            </w:r>
          </w:p>
        </w:tc>
      </w:tr>
      <w:tr w:rsidR="00AE0D1A" w14:paraId="012948FB" w14:textId="77777777" w:rsidTr="00AE0D1A">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948" w:type="dxa"/>
            <w:tcBorders>
              <w:top w:val="single" w:sz="8" w:space="0" w:color="DDD9C3"/>
              <w:left w:val="nil"/>
              <w:bottom w:val="single" w:sz="8" w:space="0" w:color="92876D"/>
              <w:right w:val="nil"/>
            </w:tcBorders>
            <w:vAlign w:val="center"/>
            <w:hideMark/>
          </w:tcPr>
          <w:p w14:paraId="012948F7" w14:textId="77777777" w:rsidR="00AE0D1A" w:rsidRDefault="005C5BA2">
            <w:pPr>
              <w:keepNext/>
              <w:keepLines/>
              <w:jc w:val="center"/>
              <w:rPr>
                <w:rFonts w:ascii="Calibri" w:eastAsia="Calibri" w:hAnsi="Calibri"/>
                <w:szCs w:val="20"/>
              </w:rPr>
            </w:pPr>
            <m:oMathPara>
              <m:oMath>
                <m:sSub>
                  <m:sSubPr>
                    <m:ctrlPr>
                      <w:rPr>
                        <w:rFonts w:ascii="Cambria Math" w:eastAsiaTheme="minorEastAsia" w:hAnsi="Cambria Math"/>
                        <w:i/>
                      </w:rPr>
                    </m:ctrlPr>
                  </m:sSubPr>
                  <m:e>
                    <m:sSub>
                      <m:sSubPr>
                        <m:ctrlPr>
                          <w:rPr>
                            <w:rFonts w:ascii="Cambria Math" w:eastAsiaTheme="minorEastAsia" w:hAnsi="Cambria Math"/>
                            <w:i/>
                          </w:rPr>
                        </m:ctrlPr>
                      </m:sSubPr>
                      <m:e>
                        <m:r>
                          <w:rPr>
                            <w:rFonts w:ascii="Cambria Math" w:eastAsiaTheme="minorEastAsia" w:hAnsi="Cambria Math"/>
                            <w:szCs w:val="20"/>
                          </w:rPr>
                          <m:t>(C</m:t>
                        </m:r>
                      </m:e>
                      <m:sub>
                        <m:r>
                          <w:rPr>
                            <w:rFonts w:ascii="Cambria Math" w:eastAsiaTheme="minorEastAsia" w:hAnsi="Cambria Math"/>
                            <w:szCs w:val="20"/>
                          </w:rPr>
                          <m:t>non-heating</m:t>
                        </m:r>
                      </m:sub>
                    </m:sSub>
                    <m:r>
                      <w:rPr>
                        <w:rFonts w:ascii="Cambria Math" w:eastAsiaTheme="minorEastAsia" w:hAnsi="Cambria Math"/>
                        <w:szCs w:val="20"/>
                      </w:rPr>
                      <m:t>)</m:t>
                    </m:r>
                  </m:e>
                  <m:sub>
                    <m:r>
                      <w:rPr>
                        <w:rFonts w:ascii="Cambria Math" w:eastAsiaTheme="minorEastAsia" w:hAnsi="Cambria Math"/>
                        <w:szCs w:val="20"/>
                      </w:rPr>
                      <m:t>i,j</m:t>
                    </m:r>
                  </m:sub>
                </m:sSub>
              </m:oMath>
            </m:oMathPara>
          </w:p>
        </w:tc>
        <w:tc>
          <w:tcPr>
            <w:tcW w:w="4070" w:type="dxa"/>
            <w:tcBorders>
              <w:top w:val="single" w:sz="8" w:space="0" w:color="DDD9C3"/>
              <w:left w:val="nil"/>
              <w:bottom w:val="single" w:sz="8" w:space="0" w:color="92876D"/>
              <w:right w:val="nil"/>
            </w:tcBorders>
            <w:hideMark/>
          </w:tcPr>
          <w:p w14:paraId="012948F8" w14:textId="77777777" w:rsidR="00AE0D1A" w:rsidRDefault="00AE0D1A">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Average non-heating gas consumption percentage in month i and year j</w:t>
            </w:r>
          </w:p>
        </w:tc>
        <w:tc>
          <w:tcPr>
            <w:tcW w:w="1544" w:type="dxa"/>
            <w:tcBorders>
              <w:top w:val="single" w:sz="8" w:space="0" w:color="DDD9C3"/>
              <w:left w:val="nil"/>
              <w:bottom w:val="single" w:sz="8" w:space="0" w:color="92876D"/>
              <w:right w:val="nil"/>
            </w:tcBorders>
            <w:vAlign w:val="center"/>
            <w:hideMark/>
          </w:tcPr>
          <w:p w14:paraId="012948F9"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rFonts w:ascii="Calibri" w:eastAsia="Calibri" w:hAnsi="Calibri"/>
                <w:szCs w:val="20"/>
              </w:rPr>
            </w:pPr>
            <m:oMathPara>
              <m:oMath>
                <m:r>
                  <w:rPr>
                    <w:rFonts w:ascii="Cambria Math" w:hAnsi="Cambria Math"/>
                    <w:szCs w:val="20"/>
                  </w:rPr>
                  <m:t>%</m:t>
                </m:r>
              </m:oMath>
            </m:oMathPara>
          </w:p>
        </w:tc>
        <w:tc>
          <w:tcPr>
            <w:tcW w:w="1942" w:type="dxa"/>
            <w:tcBorders>
              <w:top w:val="single" w:sz="8" w:space="0" w:color="DDD9C3"/>
              <w:left w:val="nil"/>
              <w:bottom w:val="single" w:sz="8" w:space="0" w:color="92876D"/>
              <w:right w:val="nil"/>
            </w:tcBorders>
            <w:vAlign w:val="center"/>
            <w:hideMark/>
          </w:tcPr>
          <w:p w14:paraId="012948FA"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Calculated</w:t>
            </w:r>
          </w:p>
        </w:tc>
      </w:tr>
    </w:tbl>
    <w:p w14:paraId="012948FC" w14:textId="77777777" w:rsidR="00AE0D1A" w:rsidRDefault="00AE0D1A" w:rsidP="00AE0D1A">
      <w:pPr>
        <w:rPr>
          <w:snapToGrid w:val="0"/>
        </w:rPr>
      </w:pPr>
    </w:p>
    <w:p w14:paraId="012948FD" w14:textId="77777777" w:rsidR="00AE0D1A" w:rsidRDefault="00AE0D1A" w:rsidP="00AE0D1A">
      <w:pPr>
        <w:pStyle w:val="Heading3"/>
        <w:numPr>
          <w:ilvl w:val="0"/>
          <w:numId w:val="0"/>
        </w:numPr>
      </w:pPr>
      <w:bookmarkStart w:id="48" w:name="_Toc363131924"/>
      <w:r>
        <w:t>Non-heating End Use Calculations</w:t>
      </w:r>
      <w:bookmarkEnd w:id="48"/>
    </w:p>
    <w:p w14:paraId="012948FE" w14:textId="77777777" w:rsidR="00AE0D1A" w:rsidRDefault="00AE0D1A" w:rsidP="00AE0D1A">
      <w:r>
        <w:t xml:space="preserve">Navigant used the following inputs and calculations to determine billing data disaggregation </w:t>
      </w:r>
      <w:r w:rsidR="00AF3954">
        <w:t>base loads:</w:t>
      </w:r>
    </w:p>
    <w:p w14:paraId="012948FF" w14:textId="77777777" w:rsidR="00AE0D1A" w:rsidRDefault="00AE0D1A" w:rsidP="00AE0D1A">
      <w:pPr>
        <w:rPr>
          <w:rStyle w:val="Strong"/>
        </w:rPr>
      </w:pPr>
    </w:p>
    <w:p w14:paraId="01294900" w14:textId="77777777" w:rsidR="00AE0D1A" w:rsidRDefault="00AE0D1A" w:rsidP="00AE0D1A">
      <w:pPr>
        <w:rPr>
          <w:rStyle w:val="Strong"/>
        </w:rPr>
      </w:pPr>
      <w:r>
        <w:rPr>
          <w:rStyle w:val="Strong"/>
        </w:rPr>
        <w:t>Water Heater Gas Consumption:</w:t>
      </w:r>
    </w:p>
    <w:p w14:paraId="01294901" w14:textId="77777777" w:rsidR="00AE0D1A" w:rsidRDefault="00AE0D1A" w:rsidP="00AE0D1A">
      <w:pPr>
        <w:rPr>
          <w:rStyle w:val="Strong"/>
        </w:rPr>
      </w:pPr>
    </w:p>
    <w:p w14:paraId="01294902" w14:textId="77777777" w:rsidR="00AE0D1A" w:rsidRDefault="005C5BA2" w:rsidP="00AE0D1A">
      <w:pPr>
        <w:rPr>
          <w:szCs w:val="20"/>
        </w:rPr>
      </w:pPr>
      <m:oMathPara>
        <m:oMath>
          <m:sSub>
            <m:sSubPr>
              <m:ctrlPr>
                <w:rPr>
                  <w:rFonts w:ascii="Cambria Math" w:hAnsi="Cambria Math"/>
                  <w:i/>
                </w:rPr>
              </m:ctrlPr>
            </m:sSubPr>
            <m:e>
              <m:sSub>
                <m:sSubPr>
                  <m:ctrlPr>
                    <w:rPr>
                      <w:rFonts w:ascii="Cambria Math" w:hAnsi="Cambria Math"/>
                      <w:i/>
                    </w:rPr>
                  </m:ctrlPr>
                </m:sSubPr>
                <m:e>
                  <m:r>
                    <w:rPr>
                      <w:rFonts w:ascii="Cambria Math" w:hAnsi="Cambria Math"/>
                      <w:szCs w:val="20"/>
                    </w:rPr>
                    <m:t>(C</m:t>
                  </m:r>
                </m:e>
                <m:sub>
                  <m:r>
                    <w:rPr>
                      <w:rFonts w:ascii="Cambria Math" w:hAnsi="Cambria Math"/>
                      <w:szCs w:val="20"/>
                    </w:rPr>
                    <m:t>Water Heater</m:t>
                  </m:r>
                </m:sub>
              </m:sSub>
              <m:r>
                <w:rPr>
                  <w:rFonts w:ascii="Cambria Math" w:hAnsi="Cambria Math"/>
                  <w:szCs w:val="20"/>
                </w:rPr>
                <m:t>)</m:t>
              </m:r>
            </m:e>
            <m:sub>
              <m:r>
                <w:rPr>
                  <w:rFonts w:ascii="Cambria Math" w:hAnsi="Cambria Math"/>
                  <w:szCs w:val="20"/>
                </w:rPr>
                <m:t>i</m:t>
              </m:r>
            </m:sub>
          </m:sSub>
          <m:r>
            <w:rPr>
              <w:rFonts w:ascii="Cambria Math" w:hAnsi="Cambria Math"/>
              <w:szCs w:val="20"/>
            </w:rPr>
            <m:t>=</m:t>
          </m:r>
          <m:d>
            <m:dPr>
              <m:ctrlPr>
                <w:rPr>
                  <w:rFonts w:ascii="Cambria Math" w:hAnsi="Cambria Math"/>
                  <w:i/>
                </w:rPr>
              </m:ctrlPr>
            </m:dPr>
            <m:e>
              <m:sSub>
                <m:sSubPr>
                  <m:ctrlPr>
                    <w:rPr>
                      <w:rFonts w:ascii="Cambria Math" w:hAnsi="Cambria Math"/>
                      <w:i/>
                    </w:rPr>
                  </m:ctrlPr>
                </m:sSubPr>
                <m:e>
                  <m:sSub>
                    <m:sSubPr>
                      <m:ctrlPr>
                        <w:rPr>
                          <w:rFonts w:ascii="Cambria Math" w:hAnsi="Cambria Math"/>
                          <w:i/>
                        </w:rPr>
                      </m:ctrlPr>
                    </m:sSubPr>
                    <m:e>
                      <m:r>
                        <w:rPr>
                          <w:rFonts w:ascii="Cambria Math" w:hAnsi="Cambria Math"/>
                          <w:szCs w:val="20"/>
                        </w:rPr>
                        <m:t>(C</m:t>
                      </m:r>
                    </m:e>
                    <m:sub>
                      <m:r>
                        <w:rPr>
                          <w:rFonts w:ascii="Cambria Math" w:hAnsi="Cambria Math"/>
                          <w:szCs w:val="20"/>
                        </w:rPr>
                        <m:t>UA</m:t>
                      </m:r>
                    </m:sub>
                  </m:sSub>
                  <m:r>
                    <w:rPr>
                      <w:rFonts w:ascii="Cambria Math" w:hAnsi="Cambria Math"/>
                      <w:szCs w:val="20"/>
                    </w:rPr>
                    <m:t>)</m:t>
                  </m:r>
                </m:e>
                <m:sub>
                  <m:r>
                    <w:rPr>
                      <w:rFonts w:ascii="Cambria Math" w:hAnsi="Cambria Math"/>
                      <w:szCs w:val="20"/>
                    </w:rPr>
                    <m:t>i</m:t>
                  </m:r>
                </m:sub>
              </m:sSub>
              <m:r>
                <w:rPr>
                  <w:rFonts w:ascii="Cambria Math" w:hAnsi="Cambria Math"/>
                  <w:szCs w:val="20"/>
                </w:rPr>
                <m:t>+</m:t>
              </m:r>
              <m:sSub>
                <m:sSubPr>
                  <m:ctrlPr>
                    <w:rPr>
                      <w:rFonts w:ascii="Cambria Math" w:hAnsi="Cambria Math"/>
                      <w:i/>
                    </w:rPr>
                  </m:ctrlPr>
                </m:sSubPr>
                <m:e>
                  <m:sSub>
                    <m:sSubPr>
                      <m:ctrlPr>
                        <w:rPr>
                          <w:rFonts w:ascii="Cambria Math" w:hAnsi="Cambria Math"/>
                          <w:i/>
                        </w:rPr>
                      </m:ctrlPr>
                    </m:sSubPr>
                    <m:e>
                      <m:r>
                        <w:rPr>
                          <w:rFonts w:ascii="Cambria Math" w:hAnsi="Cambria Math"/>
                          <w:szCs w:val="20"/>
                        </w:rPr>
                        <m:t>(C</m:t>
                      </m:r>
                    </m:e>
                    <m:sub>
                      <m:r>
                        <w:rPr>
                          <w:rFonts w:ascii="Cambria Math" w:hAnsi="Cambria Math"/>
                          <w:szCs w:val="20"/>
                        </w:rPr>
                        <m:t>Heating</m:t>
                      </m:r>
                    </m:sub>
                  </m:sSub>
                  <m:r>
                    <w:rPr>
                      <w:rFonts w:ascii="Cambria Math" w:hAnsi="Cambria Math"/>
                      <w:szCs w:val="20"/>
                    </w:rPr>
                    <m:t>)</m:t>
                  </m:r>
                </m:e>
                <m:sub>
                  <m:r>
                    <w:rPr>
                      <w:rFonts w:ascii="Cambria Math" w:hAnsi="Cambria Math"/>
                      <w:szCs w:val="20"/>
                    </w:rPr>
                    <m:t>i</m:t>
                  </m:r>
                </m:sub>
              </m:sSub>
            </m:e>
          </m:d>
          <m:r>
            <w:rPr>
              <w:rFonts w:ascii="Cambria Math" w:eastAsiaTheme="minorEastAsia" w:hAnsi="Cambria Math"/>
              <w:szCs w:val="20"/>
            </w:rPr>
            <m:t xml:space="preserve">* </m:t>
          </m:r>
          <m:sSub>
            <m:sSubPr>
              <m:ctrlPr>
                <w:rPr>
                  <w:rFonts w:ascii="Cambria Math" w:eastAsiaTheme="minorEastAsia" w:hAnsi="Cambria Math"/>
                  <w:i/>
                </w:rPr>
              </m:ctrlPr>
            </m:sSubPr>
            <m:e>
              <m:r>
                <w:rPr>
                  <w:rFonts w:ascii="Cambria Math" w:eastAsiaTheme="minorEastAsia" w:hAnsi="Cambria Math"/>
                  <w:szCs w:val="20"/>
                </w:rPr>
                <m:t>n</m:t>
              </m:r>
            </m:e>
            <m:sub>
              <m:r>
                <w:rPr>
                  <w:rFonts w:ascii="Cambria Math" w:eastAsiaTheme="minorEastAsia" w:hAnsi="Cambria Math"/>
                  <w:szCs w:val="20"/>
                </w:rPr>
                <m:t>i</m:t>
              </m:r>
            </m:sub>
          </m:sSub>
          <m:r>
            <w:rPr>
              <w:rFonts w:ascii="Cambria Math" w:eastAsiaTheme="minorEastAsia" w:hAnsi="Cambria Math"/>
              <w:szCs w:val="20"/>
            </w:rPr>
            <m:t>*</m:t>
          </m:r>
          <m:sSub>
            <m:sSubPr>
              <m:ctrlPr>
                <w:rPr>
                  <w:rFonts w:ascii="Cambria Math" w:eastAsiaTheme="minorEastAsia" w:hAnsi="Cambria Math"/>
                  <w:i/>
                </w:rPr>
              </m:ctrlPr>
            </m:sSubPr>
            <m:e>
              <m:r>
                <w:rPr>
                  <w:rFonts w:ascii="Cambria Math" w:eastAsiaTheme="minorEastAsia" w:hAnsi="Cambria Math"/>
                  <w:szCs w:val="20"/>
                </w:rPr>
                <m:t>MS</m:t>
              </m:r>
            </m:e>
            <m:sub>
              <m:r>
                <w:rPr>
                  <w:rFonts w:ascii="Cambria Math" w:eastAsiaTheme="minorEastAsia" w:hAnsi="Cambria Math"/>
                  <w:szCs w:val="20"/>
                </w:rPr>
                <m:t>water heater</m:t>
              </m:r>
            </m:sub>
          </m:sSub>
        </m:oMath>
      </m:oMathPara>
    </w:p>
    <w:p w14:paraId="01294903" w14:textId="77777777" w:rsidR="00AE0D1A" w:rsidRDefault="005C5BA2" w:rsidP="00AE0D1A">
      <w:pPr>
        <w:jc w:val="center"/>
        <w:rPr>
          <w:rFonts w:eastAsiaTheme="minorEastAsia"/>
          <w:szCs w:val="20"/>
        </w:rPr>
      </w:pPr>
      <m:oMathPara>
        <m:oMath>
          <m:sSub>
            <m:sSubPr>
              <m:ctrlPr>
                <w:rPr>
                  <w:rFonts w:ascii="Cambria Math" w:hAnsi="Cambria Math"/>
                  <w:i/>
                </w:rPr>
              </m:ctrlPr>
            </m:sSubPr>
            <m:e>
              <m:r>
                <w:rPr>
                  <w:rFonts w:ascii="Cambria Math" w:hAnsi="Cambria Math"/>
                  <w:szCs w:val="20"/>
                </w:rPr>
                <m:t>C</m:t>
              </m:r>
            </m:e>
            <m:sub>
              <m:r>
                <w:rPr>
                  <w:rFonts w:ascii="Cambria Math" w:hAnsi="Cambria Math"/>
                  <w:szCs w:val="20"/>
                </w:rPr>
                <m:t>UA</m:t>
              </m:r>
            </m:sub>
          </m:sSub>
          <m:r>
            <w:rPr>
              <w:rFonts w:ascii="Cambria Math" w:hAnsi="Cambria Math"/>
              <w:szCs w:val="20"/>
            </w:rPr>
            <m:t>=</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szCs w:val="20"/>
                        </w:rPr>
                        <m:t>T</m:t>
                      </m:r>
                    </m:e>
                    <m:sub>
                      <m:r>
                        <w:rPr>
                          <w:rFonts w:ascii="Cambria Math" w:hAnsi="Cambria Math"/>
                          <w:szCs w:val="20"/>
                        </w:rPr>
                        <m:t>tank</m:t>
                      </m:r>
                    </m:sub>
                  </m:sSub>
                  <m:r>
                    <w:rPr>
                      <w:rFonts w:ascii="Cambria Math" w:hAnsi="Cambria Math"/>
                      <w:szCs w:val="20"/>
                    </w:rPr>
                    <m:t>-</m:t>
                  </m:r>
                  <m:sSub>
                    <m:sSubPr>
                      <m:ctrlPr>
                        <w:rPr>
                          <w:rFonts w:ascii="Cambria Math" w:hAnsi="Cambria Math"/>
                          <w:i/>
                        </w:rPr>
                      </m:ctrlPr>
                    </m:sSubPr>
                    <m:e>
                      <m:r>
                        <w:rPr>
                          <w:rFonts w:ascii="Cambria Math" w:hAnsi="Cambria Math"/>
                          <w:szCs w:val="20"/>
                        </w:rPr>
                        <m:t>T</m:t>
                      </m:r>
                    </m:e>
                    <m:sub>
                      <m:r>
                        <w:rPr>
                          <w:rFonts w:ascii="Cambria Math" w:hAnsi="Cambria Math"/>
                          <w:szCs w:val="20"/>
                        </w:rPr>
                        <m:t>ambient</m:t>
                      </m:r>
                    </m:sub>
                  </m:sSub>
                </m:e>
              </m:d>
              <m:r>
                <w:rPr>
                  <w:rFonts w:ascii="Cambria Math" w:hAnsi="Cambria Math"/>
                  <w:szCs w:val="20"/>
                </w:rPr>
                <m:t>*</m:t>
              </m:r>
              <m:sSub>
                <m:sSubPr>
                  <m:ctrlPr>
                    <w:rPr>
                      <w:rFonts w:ascii="Cambria Math" w:hAnsi="Cambria Math"/>
                      <w:i/>
                    </w:rPr>
                  </m:ctrlPr>
                </m:sSubPr>
                <m:e>
                  <m:r>
                    <w:rPr>
                      <w:rFonts w:ascii="Cambria Math" w:hAnsi="Cambria Math"/>
                      <w:szCs w:val="20"/>
                    </w:rPr>
                    <m:t>UA</m:t>
                  </m:r>
                </m:e>
                <m:sub>
                  <m:r>
                    <w:rPr>
                      <w:rFonts w:ascii="Cambria Math" w:hAnsi="Cambria Math"/>
                      <w:szCs w:val="20"/>
                    </w:rPr>
                    <m:t>tank</m:t>
                  </m:r>
                </m:sub>
              </m:sSub>
              <m:r>
                <w:rPr>
                  <w:rFonts w:ascii="Cambria Math" w:hAnsi="Cambria Math"/>
                  <w:szCs w:val="20"/>
                </w:rPr>
                <m:t xml:space="preserve">*24 </m:t>
              </m:r>
              <m:r>
                <w:rPr>
                  <w:rFonts w:ascii="Cambria Math" w:hAnsi="Cambria Math"/>
                  <w:szCs w:val="20"/>
                </w:rPr>
                <m:t>hrs/day</m:t>
              </m:r>
            </m:num>
            <m:den>
              <m:sSub>
                <m:sSubPr>
                  <m:ctrlPr>
                    <w:rPr>
                      <w:rFonts w:ascii="Cambria Math" w:hAnsi="Cambria Math"/>
                      <w:i/>
                    </w:rPr>
                  </m:ctrlPr>
                </m:sSubPr>
                <m:e>
                  <m:r>
                    <w:rPr>
                      <w:rFonts w:ascii="Cambria Math" w:hAnsi="Cambria Math"/>
                      <w:szCs w:val="20"/>
                    </w:rPr>
                    <m:t>η</m:t>
                  </m:r>
                </m:e>
                <m:sub>
                  <m:r>
                    <w:rPr>
                      <w:rFonts w:ascii="Cambria Math" w:hAnsi="Cambria Math"/>
                      <w:szCs w:val="20"/>
                    </w:rPr>
                    <m:t>heating element</m:t>
                  </m:r>
                </m:sub>
              </m:sSub>
              <m:r>
                <w:rPr>
                  <w:rFonts w:ascii="Cambria Math" w:hAnsi="Cambria Math"/>
                  <w:szCs w:val="20"/>
                </w:rPr>
                <m:t>*100,000 btu/therm</m:t>
              </m:r>
            </m:den>
          </m:f>
          <m:r>
            <w:rPr>
              <w:rFonts w:ascii="Cambria Math" w:hAnsi="Cambria Math"/>
              <w:szCs w:val="20"/>
            </w:rPr>
            <m:t xml:space="preserve"> </m:t>
          </m:r>
        </m:oMath>
      </m:oMathPara>
    </w:p>
    <w:p w14:paraId="01294904" w14:textId="77777777" w:rsidR="00AE0D1A" w:rsidRDefault="005C5BA2" w:rsidP="00AE0D1A">
      <w:pPr>
        <w:jc w:val="center"/>
        <w:rPr>
          <w:rFonts w:eastAsiaTheme="minorEastAsia"/>
          <w:szCs w:val="20"/>
        </w:rPr>
      </w:pPr>
      <m:oMathPara>
        <m:oMath>
          <m:sSub>
            <m:sSubPr>
              <m:ctrlPr>
                <w:rPr>
                  <w:rFonts w:ascii="Cambria Math" w:hAnsi="Cambria Math"/>
                  <w:i/>
                </w:rPr>
              </m:ctrlPr>
            </m:sSubPr>
            <m:e>
              <m:r>
                <w:rPr>
                  <w:rFonts w:ascii="Cambria Math" w:hAnsi="Cambria Math"/>
                  <w:szCs w:val="20"/>
                </w:rPr>
                <m:t>C</m:t>
              </m:r>
            </m:e>
            <m:sub>
              <m:r>
                <w:rPr>
                  <w:rFonts w:ascii="Cambria Math" w:hAnsi="Cambria Math"/>
                  <w:szCs w:val="20"/>
                </w:rPr>
                <m:t>Heating</m:t>
              </m:r>
            </m:sub>
          </m:sSub>
          <m:r>
            <w:rPr>
              <w:rFonts w:ascii="Cambria Math" w:hAnsi="Cambria Math"/>
              <w:szCs w:val="20"/>
            </w:rPr>
            <m:t>=</m:t>
          </m:r>
          <m:f>
            <m:fPr>
              <m:ctrlPr>
                <w:rPr>
                  <w:rFonts w:ascii="Cambria Math" w:hAnsi="Cambria Math"/>
                  <w:i/>
                </w:rPr>
              </m:ctrlPr>
            </m:fPr>
            <m:num>
              <m:r>
                <w:rPr>
                  <w:rFonts w:ascii="Cambria Math" w:hAnsi="Cambria Math"/>
                  <w:szCs w:val="20"/>
                </w:rPr>
                <m:t>DHW*</m:t>
              </m:r>
              <m:f>
                <m:fPr>
                  <m:ctrlPr>
                    <w:rPr>
                      <w:rFonts w:ascii="Cambria Math" w:hAnsi="Cambria Math"/>
                      <w:i/>
                    </w:rPr>
                  </m:ctrlPr>
                </m:fPr>
                <m:num>
                  <m:sSub>
                    <m:sSubPr>
                      <m:ctrlPr>
                        <w:rPr>
                          <w:rFonts w:ascii="Cambria Math" w:hAnsi="Cambria Math"/>
                          <w:i/>
                        </w:rPr>
                      </m:ctrlPr>
                    </m:sSubPr>
                    <m:e>
                      <m:r>
                        <w:rPr>
                          <w:rFonts w:ascii="Cambria Math" w:hAnsi="Cambria Math"/>
                          <w:szCs w:val="20"/>
                        </w:rPr>
                        <m:t>Occ</m:t>
                      </m:r>
                    </m:e>
                    <m:sub>
                      <m:r>
                        <w:rPr>
                          <w:rFonts w:ascii="Cambria Math" w:hAnsi="Cambria Math"/>
                          <w:szCs w:val="20"/>
                        </w:rPr>
                        <m:t>Nicor</m:t>
                      </m:r>
                    </m:sub>
                  </m:sSub>
                </m:num>
                <m:den>
                  <m:sSub>
                    <m:sSubPr>
                      <m:ctrlPr>
                        <w:rPr>
                          <w:rFonts w:ascii="Cambria Math" w:hAnsi="Cambria Math"/>
                          <w:i/>
                        </w:rPr>
                      </m:ctrlPr>
                    </m:sSubPr>
                    <m:e>
                      <m:r>
                        <w:rPr>
                          <w:rFonts w:ascii="Cambria Math" w:hAnsi="Cambria Math"/>
                          <w:szCs w:val="20"/>
                        </w:rPr>
                        <m:t>Occ</m:t>
                      </m:r>
                    </m:e>
                    <m:sub>
                      <m:r>
                        <w:rPr>
                          <w:rFonts w:ascii="Cambria Math" w:hAnsi="Cambria Math"/>
                          <w:szCs w:val="20"/>
                        </w:rPr>
                        <m:t>BA</m:t>
                      </m:r>
                    </m:sub>
                  </m:sSub>
                </m:den>
              </m:f>
              <m:r>
                <w:rPr>
                  <w:rFonts w:ascii="Cambria Math" w:hAnsi="Cambria Math"/>
                  <w:szCs w:val="20"/>
                </w:rPr>
                <m:t>*8.33*(</m:t>
              </m:r>
              <m:sSub>
                <m:sSubPr>
                  <m:ctrlPr>
                    <w:rPr>
                      <w:rFonts w:ascii="Cambria Math" w:hAnsi="Cambria Math"/>
                      <w:i/>
                    </w:rPr>
                  </m:ctrlPr>
                </m:sSubPr>
                <m:e>
                  <m:r>
                    <w:rPr>
                      <w:rFonts w:ascii="Cambria Math" w:hAnsi="Cambria Math"/>
                      <w:szCs w:val="20"/>
                    </w:rPr>
                    <m:t>T</m:t>
                  </m:r>
                </m:e>
                <m:sub>
                  <m:r>
                    <w:rPr>
                      <w:rFonts w:ascii="Cambria Math" w:hAnsi="Cambria Math"/>
                      <w:szCs w:val="20"/>
                    </w:rPr>
                    <m:t>tank</m:t>
                  </m:r>
                </m:sub>
              </m:sSub>
              <m:r>
                <w:rPr>
                  <w:rFonts w:ascii="Cambria Math" w:hAnsi="Cambria Math"/>
                  <w:szCs w:val="20"/>
                </w:rPr>
                <m:t>-</m:t>
              </m:r>
              <m:sSub>
                <m:sSubPr>
                  <m:ctrlPr>
                    <w:rPr>
                      <w:rFonts w:ascii="Cambria Math" w:hAnsi="Cambria Math"/>
                      <w:i/>
                    </w:rPr>
                  </m:ctrlPr>
                </m:sSubPr>
                <m:e>
                  <m:r>
                    <w:rPr>
                      <w:rFonts w:ascii="Cambria Math" w:hAnsi="Cambria Math"/>
                      <w:szCs w:val="20"/>
                    </w:rPr>
                    <m:t>T</m:t>
                  </m:r>
                </m:e>
                <m:sub>
                  <m:r>
                    <w:rPr>
                      <w:rFonts w:ascii="Cambria Math" w:hAnsi="Cambria Math"/>
                      <w:szCs w:val="20"/>
                    </w:rPr>
                    <m:t>mains</m:t>
                  </m:r>
                </m:sub>
              </m:sSub>
              <m:r>
                <w:rPr>
                  <w:rFonts w:ascii="Cambria Math" w:hAnsi="Cambria Math"/>
                  <w:szCs w:val="20"/>
                </w:rPr>
                <m:t>)</m:t>
              </m:r>
            </m:num>
            <m:den>
              <m:sSub>
                <m:sSubPr>
                  <m:ctrlPr>
                    <w:rPr>
                      <w:rFonts w:ascii="Cambria Math" w:hAnsi="Cambria Math"/>
                      <w:i/>
                    </w:rPr>
                  </m:ctrlPr>
                </m:sSubPr>
                <m:e>
                  <m:r>
                    <w:rPr>
                      <w:rFonts w:ascii="Cambria Math" w:hAnsi="Cambria Math"/>
                      <w:szCs w:val="20"/>
                    </w:rPr>
                    <m:t>η</m:t>
                  </m:r>
                </m:e>
                <m:sub>
                  <m:r>
                    <w:rPr>
                      <w:rFonts w:ascii="Cambria Math" w:hAnsi="Cambria Math"/>
                      <w:szCs w:val="20"/>
                    </w:rPr>
                    <m:t>heating element</m:t>
                  </m:r>
                </m:sub>
              </m:sSub>
              <m:r>
                <w:rPr>
                  <w:rFonts w:ascii="Cambria Math" w:hAnsi="Cambria Math"/>
                  <w:szCs w:val="20"/>
                </w:rPr>
                <m:t>*100,000 btu/therm</m:t>
              </m:r>
            </m:den>
          </m:f>
        </m:oMath>
      </m:oMathPara>
    </w:p>
    <w:p w14:paraId="01294905" w14:textId="77777777" w:rsidR="00AE0D1A" w:rsidRDefault="00AE0D1A" w:rsidP="00AE0D1A">
      <w:pPr>
        <w:jc w:val="center"/>
        <w:rPr>
          <w:rFonts w:eastAsiaTheme="minorEastAsia"/>
          <w:szCs w:val="20"/>
        </w:rPr>
      </w:pPr>
    </w:p>
    <w:tbl>
      <w:tblPr>
        <w:tblStyle w:val="EnergyTable"/>
        <w:tblW w:w="0" w:type="auto"/>
        <w:jc w:val="center"/>
        <w:tblLook w:val="04A0" w:firstRow="1" w:lastRow="0" w:firstColumn="1" w:lastColumn="0" w:noHBand="0" w:noVBand="1"/>
      </w:tblPr>
      <w:tblGrid>
        <w:gridCol w:w="1850"/>
        <w:gridCol w:w="4230"/>
        <w:gridCol w:w="1440"/>
        <w:gridCol w:w="1980"/>
      </w:tblGrid>
      <w:tr w:rsidR="00AE0D1A" w14:paraId="0129490A" w14:textId="77777777" w:rsidTr="00AE0D1A">
        <w:trPr>
          <w:cnfStyle w:val="100000000000" w:firstRow="1" w:lastRow="0" w:firstColumn="0" w:lastColumn="0" w:oddVBand="0" w:evenVBand="0" w:oddHBand="0" w:evenHBand="0"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right w:val="nil"/>
            </w:tcBorders>
            <w:vAlign w:val="center"/>
            <w:hideMark/>
          </w:tcPr>
          <w:p w14:paraId="01294906" w14:textId="77777777" w:rsidR="00AE0D1A" w:rsidRDefault="00AE0D1A">
            <w:pPr>
              <w:keepNext/>
              <w:keepLines/>
              <w:jc w:val="center"/>
              <w:rPr>
                <w:szCs w:val="20"/>
              </w:rPr>
            </w:pPr>
            <w:r>
              <w:rPr>
                <w:szCs w:val="20"/>
              </w:rPr>
              <w:lastRenderedPageBreak/>
              <w:t>Parameter</w:t>
            </w:r>
          </w:p>
        </w:tc>
        <w:tc>
          <w:tcPr>
            <w:tcW w:w="4230" w:type="dxa"/>
            <w:tcBorders>
              <w:top w:val="single" w:sz="8" w:space="0" w:color="DDD9C3"/>
              <w:left w:val="nil"/>
              <w:right w:val="nil"/>
            </w:tcBorders>
            <w:vAlign w:val="center"/>
            <w:hideMark/>
          </w:tcPr>
          <w:p w14:paraId="01294907" w14:textId="77777777" w:rsidR="00AE0D1A" w:rsidRDefault="00AE0D1A">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Description</w:t>
            </w:r>
          </w:p>
        </w:tc>
        <w:tc>
          <w:tcPr>
            <w:tcW w:w="1440" w:type="dxa"/>
            <w:tcBorders>
              <w:top w:val="single" w:sz="8" w:space="0" w:color="DDD9C3"/>
              <w:left w:val="nil"/>
              <w:right w:val="nil"/>
            </w:tcBorders>
            <w:vAlign w:val="center"/>
            <w:hideMark/>
          </w:tcPr>
          <w:p w14:paraId="01294908" w14:textId="77777777" w:rsidR="00AE0D1A" w:rsidRDefault="00AE0D1A">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Units</w:t>
            </w:r>
          </w:p>
        </w:tc>
        <w:tc>
          <w:tcPr>
            <w:tcW w:w="1980" w:type="dxa"/>
            <w:tcBorders>
              <w:top w:val="single" w:sz="8" w:space="0" w:color="DDD9C3"/>
              <w:left w:val="nil"/>
              <w:right w:val="nil"/>
            </w:tcBorders>
            <w:vAlign w:val="center"/>
            <w:hideMark/>
          </w:tcPr>
          <w:p w14:paraId="01294909" w14:textId="77777777" w:rsidR="00AE0D1A" w:rsidRDefault="00AE0D1A">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Source</w:t>
            </w:r>
          </w:p>
        </w:tc>
      </w:tr>
      <w:tr w:rsidR="00AE0D1A" w14:paraId="0129490F" w14:textId="77777777" w:rsidTr="00AE0D1A">
        <w:trPr>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0B" w14:textId="77777777" w:rsidR="00AE0D1A" w:rsidRDefault="00AE0D1A">
            <w:pPr>
              <w:keepNext/>
              <w:keepLines/>
              <w:jc w:val="center"/>
              <w:rPr>
                <w:rFonts w:ascii="Calibri" w:eastAsia="Calibri" w:hAnsi="Calibri"/>
                <w:szCs w:val="20"/>
              </w:rPr>
            </w:pPr>
            <m:oMathPara>
              <m:oMath>
                <m:r>
                  <w:rPr>
                    <w:rFonts w:ascii="Cambria Math" w:eastAsia="Calibri" w:hAnsi="Cambria Math"/>
                    <w:szCs w:val="20"/>
                  </w:rPr>
                  <m:t>i</m:t>
                </m:r>
              </m:oMath>
            </m:oMathPara>
          </w:p>
        </w:tc>
        <w:tc>
          <w:tcPr>
            <w:tcW w:w="4230" w:type="dxa"/>
            <w:tcBorders>
              <w:top w:val="single" w:sz="8" w:space="0" w:color="DDD9C3"/>
              <w:left w:val="nil"/>
              <w:bottom w:val="single" w:sz="8" w:space="0" w:color="DDD9C3"/>
              <w:right w:val="nil"/>
            </w:tcBorders>
            <w:vAlign w:val="center"/>
            <w:hideMark/>
          </w:tcPr>
          <w:p w14:paraId="0129490C" w14:textId="77777777" w:rsidR="00AE0D1A" w:rsidRDefault="00AE0D1A">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Subscript to specify month (i=1,2,…,12)</w:t>
            </w:r>
          </w:p>
        </w:tc>
        <w:tc>
          <w:tcPr>
            <w:tcW w:w="1440" w:type="dxa"/>
            <w:tcBorders>
              <w:top w:val="single" w:sz="8" w:space="0" w:color="DDD9C3"/>
              <w:left w:val="nil"/>
              <w:bottom w:val="single" w:sz="8" w:space="0" w:color="DDD9C3"/>
              <w:right w:val="nil"/>
            </w:tcBorders>
            <w:vAlign w:val="center"/>
            <w:hideMark/>
          </w:tcPr>
          <w:p w14:paraId="0129490D"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szCs w:val="20"/>
              </w:rPr>
            </w:pPr>
            <m:oMathPara>
              <m:oMath>
                <m:r>
                  <w:rPr>
                    <w:rFonts w:ascii="Cambria Math" w:eastAsia="Calibri" w:hAnsi="Cambria Math"/>
                    <w:szCs w:val="20"/>
                  </w:rPr>
                  <m:t>-</m:t>
                </m:r>
              </m:oMath>
            </m:oMathPara>
          </w:p>
        </w:tc>
        <w:tc>
          <w:tcPr>
            <w:tcW w:w="1980" w:type="dxa"/>
            <w:tcBorders>
              <w:top w:val="single" w:sz="8" w:space="0" w:color="DDD9C3"/>
              <w:left w:val="nil"/>
              <w:bottom w:val="single" w:sz="8" w:space="0" w:color="DDD9C3"/>
              <w:right w:val="nil"/>
            </w:tcBorders>
            <w:vAlign w:val="center"/>
            <w:hideMark/>
          </w:tcPr>
          <w:p w14:paraId="0129490E"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N/A</w:t>
            </w:r>
          </w:p>
        </w:tc>
      </w:tr>
      <w:tr w:rsidR="00AE0D1A" w14:paraId="01294914" w14:textId="77777777" w:rsidTr="00AE0D1A">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10" w14:textId="77777777" w:rsidR="00AE0D1A" w:rsidRDefault="005C5BA2">
            <w:pPr>
              <w:keepNext/>
              <w:keepLines/>
              <w:jc w:val="center"/>
              <w:rPr>
                <w:szCs w:val="20"/>
              </w:rPr>
            </w:pPr>
            <m:oMathPara>
              <m:oMath>
                <m:sSub>
                  <m:sSubPr>
                    <m:ctrlPr>
                      <w:rPr>
                        <w:rFonts w:ascii="Cambria Math" w:hAnsi="Cambria Math"/>
                        <w:i/>
                      </w:rPr>
                    </m:ctrlPr>
                  </m:sSubPr>
                  <m:e>
                    <m:sSub>
                      <m:sSubPr>
                        <m:ctrlPr>
                          <w:rPr>
                            <w:rFonts w:ascii="Cambria Math" w:hAnsi="Cambria Math"/>
                            <w:i/>
                          </w:rPr>
                        </m:ctrlPr>
                      </m:sSubPr>
                      <m:e>
                        <m:r>
                          <w:rPr>
                            <w:rFonts w:ascii="Cambria Math" w:hAnsi="Cambria Math"/>
                            <w:szCs w:val="20"/>
                          </w:rPr>
                          <m:t>(C</m:t>
                        </m:r>
                      </m:e>
                      <m:sub>
                        <m:r>
                          <w:rPr>
                            <w:rFonts w:ascii="Cambria Math" w:hAnsi="Cambria Math"/>
                            <w:szCs w:val="20"/>
                          </w:rPr>
                          <m:t>Water Heater</m:t>
                        </m:r>
                      </m:sub>
                    </m:sSub>
                    <m:r>
                      <w:rPr>
                        <w:rFonts w:ascii="Cambria Math" w:hAnsi="Cambria Math"/>
                        <w:szCs w:val="20"/>
                      </w:rPr>
                      <m:t>)</m:t>
                    </m:r>
                  </m:e>
                  <m:sub>
                    <m:r>
                      <w:rPr>
                        <w:rFonts w:ascii="Cambria Math" w:hAnsi="Cambria Math"/>
                        <w:szCs w:val="20"/>
                      </w:rPr>
                      <m:t>i</m:t>
                    </m:r>
                  </m:sub>
                </m:sSub>
              </m:oMath>
            </m:oMathPara>
          </w:p>
        </w:tc>
        <w:tc>
          <w:tcPr>
            <w:tcW w:w="4230" w:type="dxa"/>
            <w:tcBorders>
              <w:top w:val="single" w:sz="8" w:space="0" w:color="DDD9C3"/>
              <w:left w:val="nil"/>
              <w:bottom w:val="single" w:sz="8" w:space="0" w:color="DDD9C3"/>
              <w:right w:val="nil"/>
            </w:tcBorders>
            <w:vAlign w:val="center"/>
            <w:hideMark/>
          </w:tcPr>
          <w:p w14:paraId="01294911" w14:textId="77777777" w:rsidR="00AE0D1A" w:rsidRDefault="00AE0D1A">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Gas consumption of water heater in month i</w:t>
            </w:r>
          </w:p>
        </w:tc>
        <w:tc>
          <w:tcPr>
            <w:tcW w:w="1440" w:type="dxa"/>
            <w:tcBorders>
              <w:top w:val="single" w:sz="8" w:space="0" w:color="DDD9C3"/>
              <w:left w:val="nil"/>
              <w:bottom w:val="single" w:sz="8" w:space="0" w:color="DDD9C3"/>
              <w:right w:val="nil"/>
            </w:tcBorders>
            <w:vAlign w:val="center"/>
            <w:hideMark/>
          </w:tcPr>
          <w:p w14:paraId="01294912"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m:oMathPara>
              <m:oMath>
                <m:r>
                  <w:rPr>
                    <w:rFonts w:ascii="Cambria Math" w:hAnsi="Cambria Math"/>
                    <w:szCs w:val="20"/>
                  </w:rPr>
                  <m:t>therms/month</m:t>
                </m:r>
              </m:oMath>
            </m:oMathPara>
          </w:p>
        </w:tc>
        <w:tc>
          <w:tcPr>
            <w:tcW w:w="1980" w:type="dxa"/>
            <w:tcBorders>
              <w:top w:val="single" w:sz="8" w:space="0" w:color="DDD9C3"/>
              <w:left w:val="nil"/>
              <w:bottom w:val="single" w:sz="8" w:space="0" w:color="DDD9C3"/>
              <w:right w:val="nil"/>
            </w:tcBorders>
            <w:vAlign w:val="center"/>
            <w:hideMark/>
          </w:tcPr>
          <w:p w14:paraId="01294913"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Calculated</w:t>
            </w:r>
          </w:p>
        </w:tc>
      </w:tr>
      <w:tr w:rsidR="00AE0D1A" w14:paraId="01294919" w14:textId="77777777" w:rsidTr="00AE0D1A">
        <w:trPr>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15" w14:textId="77777777" w:rsidR="00AE0D1A" w:rsidRDefault="005C5BA2">
            <w:pPr>
              <w:keepNext/>
              <w:keepLines/>
              <w:jc w:val="center"/>
              <w:rPr>
                <w:szCs w:val="20"/>
              </w:rPr>
            </w:pPr>
            <m:oMathPara>
              <m:oMath>
                <m:sSub>
                  <m:sSubPr>
                    <m:ctrlPr>
                      <w:rPr>
                        <w:rFonts w:ascii="Cambria Math" w:hAnsi="Cambria Math"/>
                        <w:i/>
                      </w:rPr>
                    </m:ctrlPr>
                  </m:sSubPr>
                  <m:e>
                    <m:sSub>
                      <m:sSubPr>
                        <m:ctrlPr>
                          <w:rPr>
                            <w:rFonts w:ascii="Cambria Math" w:hAnsi="Cambria Math"/>
                            <w:i/>
                          </w:rPr>
                        </m:ctrlPr>
                      </m:sSubPr>
                      <m:e>
                        <m:r>
                          <w:rPr>
                            <w:rFonts w:ascii="Cambria Math" w:hAnsi="Cambria Math"/>
                            <w:szCs w:val="20"/>
                          </w:rPr>
                          <m:t>(C</m:t>
                        </m:r>
                      </m:e>
                      <m:sub>
                        <m:r>
                          <w:rPr>
                            <w:rFonts w:ascii="Cambria Math" w:hAnsi="Cambria Math"/>
                            <w:szCs w:val="20"/>
                          </w:rPr>
                          <m:t>UA</m:t>
                        </m:r>
                      </m:sub>
                    </m:sSub>
                    <m:r>
                      <w:rPr>
                        <w:rFonts w:ascii="Cambria Math" w:hAnsi="Cambria Math"/>
                        <w:szCs w:val="20"/>
                      </w:rPr>
                      <m:t>)</m:t>
                    </m:r>
                  </m:e>
                  <m:sub>
                    <m:r>
                      <w:rPr>
                        <w:rFonts w:ascii="Cambria Math" w:hAnsi="Cambria Math"/>
                        <w:szCs w:val="20"/>
                      </w:rPr>
                      <m:t>i</m:t>
                    </m:r>
                  </m:sub>
                </m:sSub>
              </m:oMath>
            </m:oMathPara>
          </w:p>
        </w:tc>
        <w:tc>
          <w:tcPr>
            <w:tcW w:w="4230" w:type="dxa"/>
            <w:tcBorders>
              <w:top w:val="single" w:sz="8" w:space="0" w:color="DDD9C3"/>
              <w:left w:val="nil"/>
              <w:bottom w:val="single" w:sz="8" w:space="0" w:color="DDD9C3"/>
              <w:right w:val="nil"/>
            </w:tcBorders>
            <w:vAlign w:val="center"/>
            <w:hideMark/>
          </w:tcPr>
          <w:p w14:paraId="01294916" w14:textId="77777777" w:rsidR="00AE0D1A" w:rsidRDefault="00AE0D1A">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Gas consumption due to heat loss through tank walls in month i</w:t>
            </w:r>
          </w:p>
        </w:tc>
        <w:tc>
          <w:tcPr>
            <w:tcW w:w="1440" w:type="dxa"/>
            <w:tcBorders>
              <w:top w:val="single" w:sz="8" w:space="0" w:color="DDD9C3"/>
              <w:left w:val="nil"/>
              <w:bottom w:val="single" w:sz="8" w:space="0" w:color="DDD9C3"/>
              <w:right w:val="nil"/>
            </w:tcBorders>
            <w:vAlign w:val="center"/>
            <w:hideMark/>
          </w:tcPr>
          <w:p w14:paraId="01294917"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m:oMathPara>
              <m:oMath>
                <m:r>
                  <w:rPr>
                    <w:rFonts w:ascii="Cambria Math" w:hAnsi="Cambria Math"/>
                    <w:szCs w:val="20"/>
                  </w:rPr>
                  <m:t>therms/day</m:t>
                </m:r>
              </m:oMath>
            </m:oMathPara>
          </w:p>
        </w:tc>
        <w:tc>
          <w:tcPr>
            <w:tcW w:w="1980" w:type="dxa"/>
            <w:tcBorders>
              <w:top w:val="single" w:sz="8" w:space="0" w:color="DDD9C3"/>
              <w:left w:val="nil"/>
              <w:bottom w:val="single" w:sz="8" w:space="0" w:color="DDD9C3"/>
              <w:right w:val="nil"/>
            </w:tcBorders>
            <w:vAlign w:val="center"/>
            <w:hideMark/>
          </w:tcPr>
          <w:p w14:paraId="01294918"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Calculated</w:t>
            </w:r>
          </w:p>
        </w:tc>
      </w:tr>
      <w:tr w:rsidR="00AE0D1A" w14:paraId="0129491E" w14:textId="77777777" w:rsidTr="00AE0D1A">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1A" w14:textId="77777777" w:rsidR="00AE0D1A" w:rsidRDefault="005C5BA2">
            <w:pPr>
              <w:keepNext/>
              <w:keepLines/>
              <w:jc w:val="center"/>
              <w:rPr>
                <w:szCs w:val="20"/>
              </w:rPr>
            </w:pPr>
            <m:oMathPara>
              <m:oMath>
                <m:sSub>
                  <m:sSubPr>
                    <m:ctrlPr>
                      <w:rPr>
                        <w:rFonts w:ascii="Cambria Math" w:hAnsi="Cambria Math"/>
                        <w:i/>
                      </w:rPr>
                    </m:ctrlPr>
                  </m:sSubPr>
                  <m:e>
                    <m:sSub>
                      <m:sSubPr>
                        <m:ctrlPr>
                          <w:rPr>
                            <w:rFonts w:ascii="Cambria Math" w:hAnsi="Cambria Math"/>
                            <w:i/>
                          </w:rPr>
                        </m:ctrlPr>
                      </m:sSubPr>
                      <m:e>
                        <m:r>
                          <w:rPr>
                            <w:rFonts w:ascii="Cambria Math" w:hAnsi="Cambria Math"/>
                            <w:szCs w:val="20"/>
                          </w:rPr>
                          <m:t>(C</m:t>
                        </m:r>
                      </m:e>
                      <m:sub>
                        <m:r>
                          <w:rPr>
                            <w:rFonts w:ascii="Cambria Math" w:hAnsi="Cambria Math"/>
                            <w:szCs w:val="20"/>
                          </w:rPr>
                          <m:t>Heating</m:t>
                        </m:r>
                      </m:sub>
                    </m:sSub>
                    <m:r>
                      <w:rPr>
                        <w:rFonts w:ascii="Cambria Math" w:hAnsi="Cambria Math"/>
                        <w:szCs w:val="20"/>
                      </w:rPr>
                      <m:t>)</m:t>
                    </m:r>
                  </m:e>
                  <m:sub>
                    <m:r>
                      <w:rPr>
                        <w:rFonts w:ascii="Cambria Math" w:hAnsi="Cambria Math"/>
                        <w:szCs w:val="20"/>
                      </w:rPr>
                      <m:t>i</m:t>
                    </m:r>
                  </m:sub>
                </m:sSub>
              </m:oMath>
            </m:oMathPara>
          </w:p>
        </w:tc>
        <w:tc>
          <w:tcPr>
            <w:tcW w:w="4230" w:type="dxa"/>
            <w:tcBorders>
              <w:top w:val="single" w:sz="8" w:space="0" w:color="DDD9C3"/>
              <w:left w:val="nil"/>
              <w:bottom w:val="single" w:sz="8" w:space="0" w:color="DDD9C3"/>
              <w:right w:val="nil"/>
            </w:tcBorders>
            <w:vAlign w:val="center"/>
            <w:hideMark/>
          </w:tcPr>
          <w:p w14:paraId="0129491B" w14:textId="77777777" w:rsidR="00AE0D1A" w:rsidRDefault="00AE0D1A">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Gas consumption due to heating water from the water mains in month i</w:t>
            </w:r>
          </w:p>
        </w:tc>
        <w:tc>
          <w:tcPr>
            <w:tcW w:w="1440" w:type="dxa"/>
            <w:tcBorders>
              <w:top w:val="single" w:sz="8" w:space="0" w:color="DDD9C3"/>
              <w:left w:val="nil"/>
              <w:bottom w:val="single" w:sz="8" w:space="0" w:color="DDD9C3"/>
              <w:right w:val="nil"/>
            </w:tcBorders>
            <w:vAlign w:val="center"/>
            <w:hideMark/>
          </w:tcPr>
          <w:p w14:paraId="0129491C"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m:oMathPara>
              <m:oMath>
                <m:r>
                  <w:rPr>
                    <w:rFonts w:ascii="Cambria Math" w:hAnsi="Cambria Math"/>
                    <w:szCs w:val="20"/>
                  </w:rPr>
                  <m:t>therms/day</m:t>
                </m:r>
              </m:oMath>
            </m:oMathPara>
          </w:p>
        </w:tc>
        <w:tc>
          <w:tcPr>
            <w:tcW w:w="1980" w:type="dxa"/>
            <w:tcBorders>
              <w:top w:val="single" w:sz="8" w:space="0" w:color="DDD9C3"/>
              <w:left w:val="nil"/>
              <w:bottom w:val="single" w:sz="8" w:space="0" w:color="DDD9C3"/>
              <w:right w:val="nil"/>
            </w:tcBorders>
            <w:vAlign w:val="center"/>
            <w:hideMark/>
          </w:tcPr>
          <w:p w14:paraId="0129491D"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Calculated</w:t>
            </w:r>
          </w:p>
        </w:tc>
      </w:tr>
      <w:tr w:rsidR="00AE0D1A" w14:paraId="01294923" w14:textId="77777777" w:rsidTr="00AE0D1A">
        <w:trPr>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1F" w14:textId="77777777" w:rsidR="00AE0D1A" w:rsidRDefault="005C5BA2">
            <w:pPr>
              <w:keepNext/>
              <w:keepLines/>
              <w:jc w:val="center"/>
              <w:rPr>
                <w:rFonts w:ascii="Calibri" w:eastAsia="Calibri" w:hAnsi="Calibri"/>
                <w:szCs w:val="20"/>
              </w:rPr>
            </w:pPr>
            <m:oMathPara>
              <m:oMath>
                <m:sSub>
                  <m:sSubPr>
                    <m:ctrlPr>
                      <w:rPr>
                        <w:rFonts w:ascii="Cambria Math" w:eastAsia="Calibri" w:hAnsi="Cambria Math"/>
                        <w:i/>
                      </w:rPr>
                    </m:ctrlPr>
                  </m:sSubPr>
                  <m:e>
                    <m:r>
                      <w:rPr>
                        <w:rFonts w:ascii="Cambria Math" w:eastAsia="Calibri" w:hAnsi="Cambria Math"/>
                        <w:szCs w:val="20"/>
                      </w:rPr>
                      <m:t>n</m:t>
                    </m:r>
                  </m:e>
                  <m:sub>
                    <m:r>
                      <w:rPr>
                        <w:rFonts w:ascii="Cambria Math" w:eastAsia="Calibri" w:hAnsi="Cambria Math"/>
                        <w:szCs w:val="20"/>
                      </w:rPr>
                      <m:t>i</m:t>
                    </m:r>
                  </m:sub>
                </m:sSub>
              </m:oMath>
            </m:oMathPara>
          </w:p>
        </w:tc>
        <w:tc>
          <w:tcPr>
            <w:tcW w:w="4230" w:type="dxa"/>
            <w:tcBorders>
              <w:top w:val="single" w:sz="8" w:space="0" w:color="DDD9C3"/>
              <w:left w:val="nil"/>
              <w:bottom w:val="single" w:sz="8" w:space="0" w:color="DDD9C3"/>
              <w:right w:val="nil"/>
            </w:tcBorders>
            <w:vAlign w:val="center"/>
            <w:hideMark/>
          </w:tcPr>
          <w:p w14:paraId="01294920" w14:textId="77777777" w:rsidR="00AE0D1A" w:rsidRDefault="00AE0D1A">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Number of days in month i</w:t>
            </w:r>
          </w:p>
        </w:tc>
        <w:tc>
          <w:tcPr>
            <w:tcW w:w="1440" w:type="dxa"/>
            <w:tcBorders>
              <w:top w:val="single" w:sz="8" w:space="0" w:color="DDD9C3"/>
              <w:left w:val="nil"/>
              <w:bottom w:val="single" w:sz="8" w:space="0" w:color="DDD9C3"/>
              <w:right w:val="nil"/>
            </w:tcBorders>
            <w:vAlign w:val="center"/>
            <w:hideMark/>
          </w:tcPr>
          <w:p w14:paraId="01294921"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szCs w:val="20"/>
              </w:rPr>
            </w:pPr>
            <m:oMathPara>
              <m:oMath>
                <m:r>
                  <w:rPr>
                    <w:rFonts w:ascii="Cambria Math" w:hAnsi="Cambria Math"/>
                    <w:szCs w:val="20"/>
                  </w:rPr>
                  <m:t>days/month</m:t>
                </m:r>
              </m:oMath>
            </m:oMathPara>
          </w:p>
        </w:tc>
        <w:tc>
          <w:tcPr>
            <w:tcW w:w="1980" w:type="dxa"/>
            <w:tcBorders>
              <w:top w:val="single" w:sz="8" w:space="0" w:color="DDD9C3"/>
              <w:left w:val="nil"/>
              <w:bottom w:val="single" w:sz="8" w:space="0" w:color="DDD9C3"/>
              <w:right w:val="nil"/>
            </w:tcBorders>
            <w:vAlign w:val="center"/>
            <w:hideMark/>
          </w:tcPr>
          <w:p w14:paraId="01294922"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N/A</w:t>
            </w:r>
          </w:p>
        </w:tc>
      </w:tr>
      <w:tr w:rsidR="00AE0D1A" w14:paraId="01294928" w14:textId="77777777" w:rsidTr="00AE0D1A">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24" w14:textId="77777777" w:rsidR="00AE0D1A" w:rsidRDefault="005C5BA2">
            <w:pPr>
              <w:keepNext/>
              <w:keepLines/>
              <w:jc w:val="center"/>
              <w:rPr>
                <w:rFonts w:ascii="Calibri" w:eastAsia="Calibri" w:hAnsi="Calibri"/>
                <w:szCs w:val="20"/>
              </w:rPr>
            </w:pPr>
            <m:oMathPara>
              <m:oMath>
                <m:sSub>
                  <m:sSubPr>
                    <m:ctrlPr>
                      <w:rPr>
                        <w:rFonts w:ascii="Cambria Math" w:eastAsiaTheme="minorEastAsia" w:hAnsi="Cambria Math"/>
                        <w:i/>
                      </w:rPr>
                    </m:ctrlPr>
                  </m:sSubPr>
                  <m:e>
                    <m:r>
                      <w:rPr>
                        <w:rFonts w:ascii="Cambria Math" w:eastAsiaTheme="minorEastAsia" w:hAnsi="Cambria Math"/>
                        <w:szCs w:val="20"/>
                      </w:rPr>
                      <m:t>MS</m:t>
                    </m:r>
                  </m:e>
                  <m:sub>
                    <m:r>
                      <w:rPr>
                        <w:rFonts w:ascii="Cambria Math" w:eastAsiaTheme="minorEastAsia" w:hAnsi="Cambria Math"/>
                        <w:szCs w:val="20"/>
                      </w:rPr>
                      <m:t>water heater</m:t>
                    </m:r>
                  </m:sub>
                </m:sSub>
              </m:oMath>
            </m:oMathPara>
          </w:p>
        </w:tc>
        <w:tc>
          <w:tcPr>
            <w:tcW w:w="4230" w:type="dxa"/>
            <w:tcBorders>
              <w:top w:val="single" w:sz="8" w:space="0" w:color="DDD9C3"/>
              <w:left w:val="nil"/>
              <w:bottom w:val="single" w:sz="8" w:space="0" w:color="DDD9C3"/>
              <w:right w:val="nil"/>
            </w:tcBorders>
            <w:vAlign w:val="center"/>
            <w:hideMark/>
          </w:tcPr>
          <w:p w14:paraId="01294925" w14:textId="77777777" w:rsidR="00AE0D1A" w:rsidRDefault="00AE0D1A">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Market share of gas [versus electric] water heaters (98% of single family homes in the Nicor Gas territory have a gas water heater)</w:t>
            </w:r>
          </w:p>
        </w:tc>
        <w:tc>
          <w:tcPr>
            <w:tcW w:w="1440" w:type="dxa"/>
            <w:tcBorders>
              <w:top w:val="single" w:sz="8" w:space="0" w:color="DDD9C3"/>
              <w:left w:val="nil"/>
              <w:bottom w:val="single" w:sz="8" w:space="0" w:color="DDD9C3"/>
              <w:right w:val="nil"/>
            </w:tcBorders>
            <w:vAlign w:val="center"/>
            <w:hideMark/>
          </w:tcPr>
          <w:p w14:paraId="01294926"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rFonts w:ascii="Calibri" w:eastAsia="Calibri" w:hAnsi="Calibri"/>
                <w:szCs w:val="20"/>
              </w:rPr>
            </w:pPr>
            <m:oMathPara>
              <m:oMath>
                <m:r>
                  <w:rPr>
                    <w:rFonts w:ascii="Cambria Math" w:hAnsi="Cambria Math"/>
                    <w:szCs w:val="20"/>
                  </w:rPr>
                  <m:t>%</m:t>
                </m:r>
              </m:oMath>
            </m:oMathPara>
          </w:p>
        </w:tc>
        <w:tc>
          <w:tcPr>
            <w:tcW w:w="1980" w:type="dxa"/>
            <w:tcBorders>
              <w:top w:val="single" w:sz="8" w:space="0" w:color="DDD9C3"/>
              <w:left w:val="nil"/>
              <w:bottom w:val="single" w:sz="8" w:space="0" w:color="DDD9C3"/>
              <w:right w:val="nil"/>
            </w:tcBorders>
            <w:vAlign w:val="center"/>
            <w:hideMark/>
          </w:tcPr>
          <w:p w14:paraId="01294927"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Nicor Gas Potential Study</w:t>
            </w:r>
          </w:p>
        </w:tc>
      </w:tr>
      <w:tr w:rsidR="00AE0D1A" w14:paraId="0129492D" w14:textId="77777777" w:rsidTr="00AE0D1A">
        <w:trPr>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29" w14:textId="77777777" w:rsidR="00AE0D1A" w:rsidRDefault="005C5BA2">
            <w:pPr>
              <w:keepNext/>
              <w:keepLines/>
              <w:jc w:val="center"/>
              <w:rPr>
                <w:szCs w:val="20"/>
              </w:rPr>
            </w:pPr>
            <m:oMathPara>
              <m:oMath>
                <m:sSub>
                  <m:sSubPr>
                    <m:ctrlPr>
                      <w:rPr>
                        <w:rFonts w:ascii="Cambria Math" w:hAnsi="Cambria Math"/>
                        <w:i/>
                      </w:rPr>
                    </m:ctrlPr>
                  </m:sSubPr>
                  <m:e>
                    <m:r>
                      <w:rPr>
                        <w:rFonts w:ascii="Cambria Math" w:hAnsi="Cambria Math"/>
                        <w:szCs w:val="20"/>
                      </w:rPr>
                      <m:t>T</m:t>
                    </m:r>
                  </m:e>
                  <m:sub>
                    <m:r>
                      <w:rPr>
                        <w:rFonts w:ascii="Cambria Math" w:hAnsi="Cambria Math"/>
                        <w:szCs w:val="20"/>
                      </w:rPr>
                      <m:t>tank</m:t>
                    </m:r>
                  </m:sub>
                </m:sSub>
              </m:oMath>
            </m:oMathPara>
          </w:p>
        </w:tc>
        <w:tc>
          <w:tcPr>
            <w:tcW w:w="4230" w:type="dxa"/>
            <w:tcBorders>
              <w:top w:val="single" w:sz="8" w:space="0" w:color="DDD9C3"/>
              <w:left w:val="nil"/>
              <w:bottom w:val="single" w:sz="8" w:space="0" w:color="DDD9C3"/>
              <w:right w:val="nil"/>
            </w:tcBorders>
            <w:vAlign w:val="center"/>
            <w:hideMark/>
          </w:tcPr>
          <w:p w14:paraId="0129492A" w14:textId="77777777" w:rsidR="00AE0D1A" w:rsidRDefault="00AE0D1A">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Temperature set-point of water tank (assumed 125 ˚F)</w:t>
            </w:r>
          </w:p>
        </w:tc>
        <w:tc>
          <w:tcPr>
            <w:tcW w:w="1440" w:type="dxa"/>
            <w:tcBorders>
              <w:top w:val="single" w:sz="8" w:space="0" w:color="DDD9C3"/>
              <w:left w:val="nil"/>
              <w:bottom w:val="single" w:sz="8" w:space="0" w:color="DDD9C3"/>
              <w:right w:val="nil"/>
            </w:tcBorders>
            <w:vAlign w:val="center"/>
            <w:hideMark/>
          </w:tcPr>
          <w:p w14:paraId="0129492B"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m:oMathPara>
              <m:oMath>
                <m:r>
                  <w:rPr>
                    <w:rFonts w:ascii="Cambria Math" w:hAnsi="Cambria Math"/>
                    <w:szCs w:val="20"/>
                  </w:rPr>
                  <m:t>℉</m:t>
                </m:r>
              </m:oMath>
            </m:oMathPara>
          </w:p>
        </w:tc>
        <w:tc>
          <w:tcPr>
            <w:tcW w:w="1980" w:type="dxa"/>
            <w:tcBorders>
              <w:top w:val="single" w:sz="8" w:space="0" w:color="DDD9C3"/>
              <w:left w:val="nil"/>
              <w:bottom w:val="single" w:sz="8" w:space="0" w:color="DDD9C3"/>
              <w:right w:val="nil"/>
            </w:tcBorders>
            <w:vAlign w:val="center"/>
            <w:hideMark/>
          </w:tcPr>
          <w:p w14:paraId="0129492C"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Illinois TRM</w:t>
            </w:r>
          </w:p>
        </w:tc>
      </w:tr>
      <w:tr w:rsidR="00AE0D1A" w14:paraId="01294932" w14:textId="77777777" w:rsidTr="00AE0D1A">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2E" w14:textId="77777777" w:rsidR="00AE0D1A" w:rsidRDefault="005C5BA2">
            <w:pPr>
              <w:keepNext/>
              <w:keepLines/>
              <w:jc w:val="center"/>
              <w:rPr>
                <w:szCs w:val="20"/>
              </w:rPr>
            </w:pPr>
            <m:oMathPara>
              <m:oMath>
                <m:sSub>
                  <m:sSubPr>
                    <m:ctrlPr>
                      <w:rPr>
                        <w:rFonts w:ascii="Cambria Math" w:hAnsi="Cambria Math"/>
                        <w:i/>
                      </w:rPr>
                    </m:ctrlPr>
                  </m:sSubPr>
                  <m:e>
                    <m:r>
                      <w:rPr>
                        <w:rFonts w:ascii="Cambria Math" w:hAnsi="Cambria Math"/>
                        <w:szCs w:val="20"/>
                      </w:rPr>
                      <m:t>T</m:t>
                    </m:r>
                  </m:e>
                  <m:sub>
                    <m:r>
                      <w:rPr>
                        <w:rFonts w:ascii="Cambria Math" w:hAnsi="Cambria Math"/>
                        <w:szCs w:val="20"/>
                      </w:rPr>
                      <m:t>ambient</m:t>
                    </m:r>
                  </m:sub>
                </m:sSub>
              </m:oMath>
            </m:oMathPara>
          </w:p>
        </w:tc>
        <w:tc>
          <w:tcPr>
            <w:tcW w:w="4230" w:type="dxa"/>
            <w:tcBorders>
              <w:top w:val="single" w:sz="8" w:space="0" w:color="DDD9C3"/>
              <w:left w:val="nil"/>
              <w:bottom w:val="single" w:sz="8" w:space="0" w:color="DDD9C3"/>
              <w:right w:val="nil"/>
            </w:tcBorders>
            <w:vAlign w:val="center"/>
            <w:hideMark/>
          </w:tcPr>
          <w:p w14:paraId="0129492F" w14:textId="77777777" w:rsidR="00AE0D1A" w:rsidRDefault="00AE0D1A">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Temperature of ambient air near water tank (assumed 70 ˚F)</w:t>
            </w:r>
          </w:p>
        </w:tc>
        <w:tc>
          <w:tcPr>
            <w:tcW w:w="1440" w:type="dxa"/>
            <w:tcBorders>
              <w:top w:val="single" w:sz="8" w:space="0" w:color="DDD9C3"/>
              <w:left w:val="nil"/>
              <w:bottom w:val="single" w:sz="8" w:space="0" w:color="DDD9C3"/>
              <w:right w:val="nil"/>
            </w:tcBorders>
            <w:vAlign w:val="center"/>
            <w:hideMark/>
          </w:tcPr>
          <w:p w14:paraId="01294930"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m:oMathPara>
              <m:oMath>
                <m:r>
                  <w:rPr>
                    <w:rFonts w:ascii="Cambria Math" w:hAnsi="Cambria Math"/>
                    <w:szCs w:val="20"/>
                  </w:rPr>
                  <m:t>℉</m:t>
                </m:r>
              </m:oMath>
            </m:oMathPara>
          </w:p>
        </w:tc>
        <w:tc>
          <w:tcPr>
            <w:tcW w:w="1980" w:type="dxa"/>
            <w:tcBorders>
              <w:top w:val="single" w:sz="8" w:space="0" w:color="DDD9C3"/>
              <w:left w:val="nil"/>
              <w:bottom w:val="single" w:sz="8" w:space="0" w:color="DDD9C3"/>
              <w:right w:val="nil"/>
            </w:tcBorders>
            <w:vAlign w:val="center"/>
            <w:hideMark/>
          </w:tcPr>
          <w:p w14:paraId="01294931"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Assumed</w:t>
            </w:r>
          </w:p>
        </w:tc>
      </w:tr>
      <w:tr w:rsidR="00AE0D1A" w14:paraId="01294937" w14:textId="77777777" w:rsidTr="00AE0D1A">
        <w:trPr>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33" w14:textId="77777777" w:rsidR="00AE0D1A" w:rsidRDefault="005C5BA2">
            <w:pPr>
              <w:keepNext/>
              <w:keepLines/>
              <w:jc w:val="center"/>
              <w:rPr>
                <w:szCs w:val="20"/>
              </w:rPr>
            </w:pPr>
            <m:oMathPara>
              <m:oMath>
                <m:sSub>
                  <m:sSubPr>
                    <m:ctrlPr>
                      <w:rPr>
                        <w:rFonts w:ascii="Cambria Math" w:hAnsi="Cambria Math"/>
                        <w:i/>
                      </w:rPr>
                    </m:ctrlPr>
                  </m:sSubPr>
                  <m:e>
                    <m:sSub>
                      <m:sSubPr>
                        <m:ctrlPr>
                          <w:rPr>
                            <w:rFonts w:ascii="Cambria Math" w:hAnsi="Cambria Math"/>
                            <w:i/>
                          </w:rPr>
                        </m:ctrlPr>
                      </m:sSubPr>
                      <m:e>
                        <m:r>
                          <w:rPr>
                            <w:rFonts w:ascii="Cambria Math" w:hAnsi="Cambria Math"/>
                            <w:szCs w:val="20"/>
                          </w:rPr>
                          <m:t>(T</m:t>
                        </m:r>
                      </m:e>
                      <m:sub>
                        <m:r>
                          <w:rPr>
                            <w:rFonts w:ascii="Cambria Math" w:hAnsi="Cambria Math"/>
                            <w:szCs w:val="20"/>
                          </w:rPr>
                          <m:t>mains</m:t>
                        </m:r>
                      </m:sub>
                    </m:sSub>
                    <m:r>
                      <w:rPr>
                        <w:rFonts w:ascii="Cambria Math" w:hAnsi="Cambria Math"/>
                        <w:szCs w:val="20"/>
                      </w:rPr>
                      <m:t>)</m:t>
                    </m:r>
                  </m:e>
                  <m:sub>
                    <m:r>
                      <w:rPr>
                        <w:rFonts w:ascii="Cambria Math" w:hAnsi="Cambria Math"/>
                        <w:szCs w:val="20"/>
                      </w:rPr>
                      <m:t>i</m:t>
                    </m:r>
                  </m:sub>
                </m:sSub>
              </m:oMath>
            </m:oMathPara>
          </w:p>
        </w:tc>
        <w:tc>
          <w:tcPr>
            <w:tcW w:w="4230" w:type="dxa"/>
            <w:tcBorders>
              <w:top w:val="single" w:sz="8" w:space="0" w:color="DDD9C3"/>
              <w:left w:val="nil"/>
              <w:bottom w:val="single" w:sz="8" w:space="0" w:color="DDD9C3"/>
              <w:right w:val="nil"/>
            </w:tcBorders>
            <w:vAlign w:val="center"/>
            <w:hideMark/>
          </w:tcPr>
          <w:p w14:paraId="01294934" w14:textId="77777777" w:rsidR="00AE0D1A" w:rsidRDefault="00AE0D1A">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Location-specific temperature of water mains in month i</w:t>
            </w:r>
          </w:p>
        </w:tc>
        <w:tc>
          <w:tcPr>
            <w:tcW w:w="1440" w:type="dxa"/>
            <w:tcBorders>
              <w:top w:val="single" w:sz="8" w:space="0" w:color="DDD9C3"/>
              <w:left w:val="nil"/>
              <w:bottom w:val="single" w:sz="8" w:space="0" w:color="DDD9C3"/>
              <w:right w:val="nil"/>
            </w:tcBorders>
            <w:vAlign w:val="center"/>
            <w:hideMark/>
          </w:tcPr>
          <w:p w14:paraId="01294935"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szCs w:val="20"/>
              </w:rPr>
            </w:pPr>
            <m:oMathPara>
              <m:oMath>
                <m:r>
                  <w:rPr>
                    <w:rFonts w:ascii="Cambria Math" w:hAnsi="Cambria Math"/>
                    <w:szCs w:val="20"/>
                  </w:rPr>
                  <m:t>℉</m:t>
                </m:r>
              </m:oMath>
            </m:oMathPara>
          </w:p>
        </w:tc>
        <w:tc>
          <w:tcPr>
            <w:tcW w:w="1980" w:type="dxa"/>
            <w:tcBorders>
              <w:top w:val="single" w:sz="8" w:space="0" w:color="DDD9C3"/>
              <w:left w:val="nil"/>
              <w:bottom w:val="single" w:sz="8" w:space="0" w:color="DDD9C3"/>
              <w:right w:val="nil"/>
            </w:tcBorders>
            <w:vAlign w:val="center"/>
            <w:hideMark/>
          </w:tcPr>
          <w:p w14:paraId="01294936"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Building America Benchmark</w:t>
            </w:r>
          </w:p>
        </w:tc>
      </w:tr>
      <w:tr w:rsidR="00AE0D1A" w14:paraId="0129493C" w14:textId="77777777" w:rsidTr="00AE0D1A">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38" w14:textId="77777777" w:rsidR="00AE0D1A" w:rsidRDefault="005C5BA2">
            <w:pPr>
              <w:keepNext/>
              <w:keepLines/>
              <w:jc w:val="center"/>
              <w:rPr>
                <w:szCs w:val="20"/>
              </w:rPr>
            </w:pPr>
            <m:oMathPara>
              <m:oMath>
                <m:sSub>
                  <m:sSubPr>
                    <m:ctrlPr>
                      <w:rPr>
                        <w:rFonts w:ascii="Cambria Math" w:hAnsi="Cambria Math"/>
                        <w:i/>
                      </w:rPr>
                    </m:ctrlPr>
                  </m:sSubPr>
                  <m:e>
                    <m:r>
                      <w:rPr>
                        <w:rFonts w:ascii="Cambria Math" w:hAnsi="Cambria Math"/>
                        <w:szCs w:val="20"/>
                      </w:rPr>
                      <m:t>UA</m:t>
                    </m:r>
                  </m:e>
                  <m:sub>
                    <m:r>
                      <w:rPr>
                        <w:rFonts w:ascii="Cambria Math" w:hAnsi="Cambria Math"/>
                        <w:szCs w:val="20"/>
                      </w:rPr>
                      <m:t>tank</m:t>
                    </m:r>
                  </m:sub>
                </m:sSub>
              </m:oMath>
            </m:oMathPara>
          </w:p>
        </w:tc>
        <w:tc>
          <w:tcPr>
            <w:tcW w:w="4230" w:type="dxa"/>
            <w:tcBorders>
              <w:top w:val="single" w:sz="8" w:space="0" w:color="DDD9C3"/>
              <w:left w:val="nil"/>
              <w:bottom w:val="single" w:sz="8" w:space="0" w:color="DDD9C3"/>
              <w:right w:val="nil"/>
            </w:tcBorders>
            <w:vAlign w:val="center"/>
            <w:hideMark/>
          </w:tcPr>
          <w:p w14:paraId="01294939" w14:textId="77777777" w:rsidR="00AE0D1A" w:rsidRDefault="00AE0D1A">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Thermal transmittance through the tank walls</w:t>
            </w:r>
          </w:p>
        </w:tc>
        <w:tc>
          <w:tcPr>
            <w:tcW w:w="1440" w:type="dxa"/>
            <w:tcBorders>
              <w:top w:val="single" w:sz="8" w:space="0" w:color="DDD9C3"/>
              <w:left w:val="nil"/>
              <w:bottom w:val="single" w:sz="8" w:space="0" w:color="DDD9C3"/>
              <w:right w:val="nil"/>
            </w:tcBorders>
            <w:vAlign w:val="center"/>
            <w:hideMark/>
          </w:tcPr>
          <w:p w14:paraId="0129493A" w14:textId="77777777" w:rsidR="00AE0D1A" w:rsidRDefault="005C5BA2">
            <w:pPr>
              <w:keepNext/>
              <w:keepLines/>
              <w:jc w:val="center"/>
              <w:cnfStyle w:val="000000010000" w:firstRow="0" w:lastRow="0" w:firstColumn="0" w:lastColumn="0" w:oddVBand="0" w:evenVBand="0" w:oddHBand="0" w:evenHBand="1" w:firstRowFirstColumn="0" w:firstRowLastColumn="0" w:lastRowFirstColumn="0" w:lastRowLastColumn="0"/>
              <w:rPr>
                <w:szCs w:val="20"/>
              </w:rPr>
            </w:pPr>
            <m:oMathPara>
              <m:oMath>
                <m:f>
                  <m:fPr>
                    <m:ctrlPr>
                      <w:rPr>
                        <w:rFonts w:ascii="Cambria Math" w:hAnsi="Cambria Math"/>
                        <w:i/>
                      </w:rPr>
                    </m:ctrlPr>
                  </m:fPr>
                  <m:num>
                    <m:r>
                      <w:rPr>
                        <w:rFonts w:ascii="Cambria Math" w:hAnsi="Cambria Math"/>
                        <w:szCs w:val="20"/>
                      </w:rPr>
                      <m:t>btu</m:t>
                    </m:r>
                  </m:num>
                  <m:den>
                    <m:r>
                      <w:rPr>
                        <w:rFonts w:ascii="Cambria Math" w:hAnsi="Cambria Math"/>
                        <w:szCs w:val="20"/>
                      </w:rPr>
                      <m:t>hr-°F</m:t>
                    </m:r>
                  </m:den>
                </m:f>
              </m:oMath>
            </m:oMathPara>
          </w:p>
        </w:tc>
        <w:tc>
          <w:tcPr>
            <w:tcW w:w="1980" w:type="dxa"/>
            <w:tcBorders>
              <w:top w:val="single" w:sz="8" w:space="0" w:color="DDD9C3"/>
              <w:left w:val="nil"/>
              <w:bottom w:val="single" w:sz="8" w:space="0" w:color="DDD9C3"/>
              <w:right w:val="nil"/>
            </w:tcBorders>
            <w:vAlign w:val="center"/>
            <w:hideMark/>
          </w:tcPr>
          <w:p w14:paraId="0129493B"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Building America Benchmark</w:t>
            </w:r>
          </w:p>
        </w:tc>
      </w:tr>
      <w:tr w:rsidR="00AE0D1A" w14:paraId="01294941" w14:textId="77777777" w:rsidTr="00AE0D1A">
        <w:trPr>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3D" w14:textId="77777777" w:rsidR="00AE0D1A" w:rsidRDefault="005C5BA2">
            <w:pPr>
              <w:keepNext/>
              <w:keepLines/>
              <w:jc w:val="center"/>
              <w:rPr>
                <w:rFonts w:ascii="Calibri" w:eastAsia="Calibri" w:hAnsi="Calibri"/>
                <w:szCs w:val="20"/>
              </w:rPr>
            </w:pPr>
            <m:oMathPara>
              <m:oMath>
                <m:sSub>
                  <m:sSubPr>
                    <m:ctrlPr>
                      <w:rPr>
                        <w:rFonts w:ascii="Cambria Math" w:hAnsi="Cambria Math"/>
                        <w:i/>
                      </w:rPr>
                    </m:ctrlPr>
                  </m:sSubPr>
                  <m:e>
                    <m:r>
                      <w:rPr>
                        <w:rFonts w:ascii="Cambria Math" w:hAnsi="Cambria Math"/>
                        <w:szCs w:val="20"/>
                      </w:rPr>
                      <m:t>η</m:t>
                    </m:r>
                  </m:e>
                  <m:sub>
                    <m:r>
                      <w:rPr>
                        <w:rFonts w:ascii="Cambria Math" w:hAnsi="Cambria Math"/>
                        <w:szCs w:val="20"/>
                      </w:rPr>
                      <m:t>heating element</m:t>
                    </m:r>
                  </m:sub>
                </m:sSub>
              </m:oMath>
            </m:oMathPara>
          </w:p>
        </w:tc>
        <w:tc>
          <w:tcPr>
            <w:tcW w:w="4230" w:type="dxa"/>
            <w:tcBorders>
              <w:top w:val="single" w:sz="8" w:space="0" w:color="DDD9C3"/>
              <w:left w:val="nil"/>
              <w:bottom w:val="single" w:sz="8" w:space="0" w:color="DDD9C3"/>
              <w:right w:val="nil"/>
            </w:tcBorders>
            <w:vAlign w:val="center"/>
            <w:hideMark/>
          </w:tcPr>
          <w:p w14:paraId="0129493E" w14:textId="77777777" w:rsidR="00AE0D1A" w:rsidRDefault="00AE0D1A">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Efficiency of the heating element in the water heater (Assumed 76%)</w:t>
            </w:r>
          </w:p>
        </w:tc>
        <w:tc>
          <w:tcPr>
            <w:tcW w:w="1440" w:type="dxa"/>
            <w:tcBorders>
              <w:top w:val="single" w:sz="8" w:space="0" w:color="DDD9C3"/>
              <w:left w:val="nil"/>
              <w:bottom w:val="single" w:sz="8" w:space="0" w:color="DDD9C3"/>
              <w:right w:val="nil"/>
            </w:tcBorders>
            <w:vAlign w:val="center"/>
            <w:hideMark/>
          </w:tcPr>
          <w:p w14:paraId="0129493F"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szCs w:val="20"/>
              </w:rPr>
            </w:pPr>
            <m:oMathPara>
              <m:oMath>
                <m:r>
                  <w:rPr>
                    <w:rFonts w:ascii="Cambria Math" w:eastAsia="Calibri" w:hAnsi="Cambria Math"/>
                    <w:szCs w:val="20"/>
                  </w:rPr>
                  <m:t>%</m:t>
                </m:r>
              </m:oMath>
            </m:oMathPara>
          </w:p>
        </w:tc>
        <w:tc>
          <w:tcPr>
            <w:tcW w:w="1980" w:type="dxa"/>
            <w:tcBorders>
              <w:top w:val="single" w:sz="8" w:space="0" w:color="DDD9C3"/>
              <w:left w:val="nil"/>
              <w:bottom w:val="single" w:sz="8" w:space="0" w:color="DDD9C3"/>
              <w:right w:val="nil"/>
            </w:tcBorders>
            <w:vAlign w:val="center"/>
            <w:hideMark/>
          </w:tcPr>
          <w:p w14:paraId="01294940"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Building America Benchmark</w:t>
            </w:r>
          </w:p>
        </w:tc>
      </w:tr>
      <w:tr w:rsidR="00AE0D1A" w14:paraId="01294946" w14:textId="77777777" w:rsidTr="00AE0D1A">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42" w14:textId="77777777" w:rsidR="00AE0D1A" w:rsidRDefault="005C5BA2">
            <w:pPr>
              <w:keepNext/>
              <w:keepLines/>
              <w:jc w:val="center"/>
              <w:rPr>
                <w:rFonts w:ascii="Calibri" w:eastAsia="Calibri" w:hAnsi="Calibri"/>
                <w:szCs w:val="20"/>
              </w:rPr>
            </w:pPr>
            <m:oMathPara>
              <m:oMath>
                <m:sSub>
                  <m:sSubPr>
                    <m:ctrlPr>
                      <w:rPr>
                        <w:rFonts w:ascii="Cambria Math" w:hAnsi="Cambria Math"/>
                        <w:i/>
                      </w:rPr>
                    </m:ctrlPr>
                  </m:sSubPr>
                  <m:e>
                    <m:r>
                      <w:rPr>
                        <w:rFonts w:ascii="Cambria Math" w:hAnsi="Cambria Math"/>
                        <w:szCs w:val="20"/>
                      </w:rPr>
                      <m:t>DHW</m:t>
                    </m:r>
                  </m:e>
                  <m:sub>
                    <m:r>
                      <w:rPr>
                        <w:rFonts w:ascii="Cambria Math" w:hAnsi="Cambria Math"/>
                        <w:szCs w:val="20"/>
                      </w:rPr>
                      <m:t>i</m:t>
                    </m:r>
                  </m:sub>
                </m:sSub>
              </m:oMath>
            </m:oMathPara>
          </w:p>
        </w:tc>
        <w:tc>
          <w:tcPr>
            <w:tcW w:w="4230" w:type="dxa"/>
            <w:tcBorders>
              <w:top w:val="single" w:sz="8" w:space="0" w:color="DDD9C3"/>
              <w:left w:val="nil"/>
              <w:bottom w:val="single" w:sz="8" w:space="0" w:color="DDD9C3"/>
              <w:right w:val="nil"/>
            </w:tcBorders>
            <w:vAlign w:val="center"/>
            <w:hideMark/>
          </w:tcPr>
          <w:p w14:paraId="01294943" w14:textId="77777777" w:rsidR="00AE0D1A" w:rsidRDefault="00AE0D1A">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Daily hot water demand in month i</w:t>
            </w:r>
          </w:p>
        </w:tc>
        <w:tc>
          <w:tcPr>
            <w:tcW w:w="1440" w:type="dxa"/>
            <w:tcBorders>
              <w:top w:val="single" w:sz="8" w:space="0" w:color="DDD9C3"/>
              <w:left w:val="nil"/>
              <w:bottom w:val="single" w:sz="8" w:space="0" w:color="DDD9C3"/>
              <w:right w:val="nil"/>
            </w:tcBorders>
            <w:vAlign w:val="center"/>
            <w:hideMark/>
          </w:tcPr>
          <w:p w14:paraId="01294944"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rFonts w:ascii="Calibri" w:eastAsia="Calibri" w:hAnsi="Calibri"/>
                <w:szCs w:val="20"/>
              </w:rPr>
            </w:pPr>
            <m:oMathPara>
              <m:oMath>
                <m:r>
                  <w:rPr>
                    <w:rFonts w:ascii="Cambria Math" w:eastAsia="Calibri" w:hAnsi="Cambria Math"/>
                    <w:szCs w:val="20"/>
                  </w:rPr>
                  <m:t>Gal/day</m:t>
                </m:r>
              </m:oMath>
            </m:oMathPara>
          </w:p>
        </w:tc>
        <w:tc>
          <w:tcPr>
            <w:tcW w:w="1980" w:type="dxa"/>
            <w:tcBorders>
              <w:top w:val="single" w:sz="8" w:space="0" w:color="DDD9C3"/>
              <w:left w:val="nil"/>
              <w:bottom w:val="single" w:sz="8" w:space="0" w:color="DDD9C3"/>
              <w:right w:val="nil"/>
            </w:tcBorders>
            <w:vAlign w:val="center"/>
            <w:hideMark/>
          </w:tcPr>
          <w:p w14:paraId="01294945"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Building America Benchmark</w:t>
            </w:r>
          </w:p>
        </w:tc>
      </w:tr>
      <w:tr w:rsidR="00AE0D1A" w14:paraId="0129494B" w14:textId="77777777" w:rsidTr="00AE0D1A">
        <w:trPr>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47" w14:textId="77777777" w:rsidR="00AE0D1A" w:rsidRDefault="005C5BA2">
            <w:pPr>
              <w:keepNext/>
              <w:keepLines/>
              <w:jc w:val="center"/>
              <w:rPr>
                <w:rFonts w:ascii="Calibri" w:eastAsia="Calibri" w:hAnsi="Calibri"/>
                <w:szCs w:val="20"/>
              </w:rPr>
            </w:pPr>
            <m:oMathPara>
              <m:oMath>
                <m:sSub>
                  <m:sSubPr>
                    <m:ctrlPr>
                      <w:rPr>
                        <w:rFonts w:ascii="Cambria Math" w:hAnsi="Cambria Math"/>
                        <w:i/>
                      </w:rPr>
                    </m:ctrlPr>
                  </m:sSubPr>
                  <m:e>
                    <m:r>
                      <w:rPr>
                        <w:rFonts w:ascii="Cambria Math" w:hAnsi="Cambria Math"/>
                        <w:szCs w:val="20"/>
                      </w:rPr>
                      <m:t>Occ</m:t>
                    </m:r>
                  </m:e>
                  <m:sub>
                    <m:r>
                      <w:rPr>
                        <w:rFonts w:ascii="Cambria Math" w:hAnsi="Cambria Math"/>
                        <w:szCs w:val="20"/>
                      </w:rPr>
                      <m:t>Nicor</m:t>
                    </m:r>
                  </m:sub>
                </m:sSub>
              </m:oMath>
            </m:oMathPara>
          </w:p>
        </w:tc>
        <w:tc>
          <w:tcPr>
            <w:tcW w:w="4230" w:type="dxa"/>
            <w:tcBorders>
              <w:top w:val="single" w:sz="8" w:space="0" w:color="DDD9C3"/>
              <w:left w:val="nil"/>
              <w:bottom w:val="single" w:sz="8" w:space="0" w:color="DDD9C3"/>
              <w:right w:val="nil"/>
            </w:tcBorders>
            <w:vAlign w:val="center"/>
            <w:hideMark/>
          </w:tcPr>
          <w:p w14:paraId="01294948" w14:textId="77777777" w:rsidR="00AE0D1A" w:rsidRDefault="00AE0D1A">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Average household occupancy in the Nicor service territory (2.6)</w:t>
            </w:r>
          </w:p>
        </w:tc>
        <w:tc>
          <w:tcPr>
            <w:tcW w:w="1440" w:type="dxa"/>
            <w:tcBorders>
              <w:top w:val="single" w:sz="8" w:space="0" w:color="DDD9C3"/>
              <w:left w:val="nil"/>
              <w:bottom w:val="single" w:sz="8" w:space="0" w:color="DDD9C3"/>
              <w:right w:val="nil"/>
            </w:tcBorders>
            <w:vAlign w:val="center"/>
            <w:hideMark/>
          </w:tcPr>
          <w:p w14:paraId="01294949"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szCs w:val="20"/>
              </w:rPr>
            </w:pPr>
            <m:oMathPara>
              <m:oMath>
                <m:r>
                  <w:rPr>
                    <w:rFonts w:ascii="Cambria Math" w:eastAsia="Calibri" w:hAnsi="Cambria Math"/>
                    <w:szCs w:val="20"/>
                  </w:rPr>
                  <m:t>Persons/household</m:t>
                </m:r>
              </m:oMath>
            </m:oMathPara>
          </w:p>
        </w:tc>
        <w:tc>
          <w:tcPr>
            <w:tcW w:w="1980" w:type="dxa"/>
            <w:tcBorders>
              <w:top w:val="single" w:sz="8" w:space="0" w:color="DDD9C3"/>
              <w:left w:val="nil"/>
              <w:bottom w:val="single" w:sz="8" w:space="0" w:color="DDD9C3"/>
              <w:right w:val="nil"/>
            </w:tcBorders>
            <w:vAlign w:val="center"/>
            <w:hideMark/>
          </w:tcPr>
          <w:p w14:paraId="0129494A"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Nicor Gas Potential Study (Bass and Company)</w:t>
            </w:r>
          </w:p>
        </w:tc>
      </w:tr>
      <w:tr w:rsidR="00AE0D1A" w14:paraId="01294950" w14:textId="77777777" w:rsidTr="00AE0D1A">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DDD9C3"/>
              <w:right w:val="nil"/>
            </w:tcBorders>
            <w:vAlign w:val="center"/>
            <w:hideMark/>
          </w:tcPr>
          <w:p w14:paraId="0129494C" w14:textId="77777777" w:rsidR="00AE0D1A" w:rsidRDefault="005C5BA2">
            <w:pPr>
              <w:keepNext/>
              <w:keepLines/>
              <w:jc w:val="center"/>
              <w:rPr>
                <w:rFonts w:ascii="Calibri" w:eastAsia="Calibri" w:hAnsi="Calibri"/>
                <w:szCs w:val="20"/>
              </w:rPr>
            </w:pPr>
            <m:oMathPara>
              <m:oMath>
                <m:sSub>
                  <m:sSubPr>
                    <m:ctrlPr>
                      <w:rPr>
                        <w:rFonts w:ascii="Cambria Math" w:hAnsi="Cambria Math"/>
                        <w:i/>
                      </w:rPr>
                    </m:ctrlPr>
                  </m:sSubPr>
                  <m:e>
                    <m:r>
                      <w:rPr>
                        <w:rFonts w:ascii="Cambria Math" w:hAnsi="Cambria Math"/>
                        <w:szCs w:val="20"/>
                      </w:rPr>
                      <m:t>Occ</m:t>
                    </m:r>
                  </m:e>
                  <m:sub>
                    <m:r>
                      <w:rPr>
                        <w:rFonts w:ascii="Cambria Math" w:hAnsi="Cambria Math"/>
                        <w:szCs w:val="20"/>
                      </w:rPr>
                      <m:t>BA</m:t>
                    </m:r>
                  </m:sub>
                </m:sSub>
              </m:oMath>
            </m:oMathPara>
          </w:p>
        </w:tc>
        <w:tc>
          <w:tcPr>
            <w:tcW w:w="4230" w:type="dxa"/>
            <w:tcBorders>
              <w:top w:val="single" w:sz="8" w:space="0" w:color="DDD9C3"/>
              <w:left w:val="nil"/>
              <w:bottom w:val="single" w:sz="8" w:space="0" w:color="DDD9C3"/>
              <w:right w:val="nil"/>
            </w:tcBorders>
            <w:vAlign w:val="center"/>
            <w:hideMark/>
          </w:tcPr>
          <w:p w14:paraId="0129494D" w14:textId="77777777" w:rsidR="00AE0D1A" w:rsidRDefault="00AE0D1A">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Average household occupancy determined by Building America (2.8)</w:t>
            </w:r>
          </w:p>
        </w:tc>
        <w:tc>
          <w:tcPr>
            <w:tcW w:w="1440" w:type="dxa"/>
            <w:tcBorders>
              <w:top w:val="single" w:sz="8" w:space="0" w:color="DDD9C3"/>
              <w:left w:val="nil"/>
              <w:bottom w:val="single" w:sz="8" w:space="0" w:color="DDD9C3"/>
              <w:right w:val="nil"/>
            </w:tcBorders>
            <w:vAlign w:val="center"/>
            <w:hideMark/>
          </w:tcPr>
          <w:p w14:paraId="0129494E"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rFonts w:ascii="Calibri" w:eastAsia="Calibri" w:hAnsi="Calibri"/>
                <w:szCs w:val="20"/>
              </w:rPr>
            </w:pPr>
            <m:oMathPara>
              <m:oMath>
                <m:r>
                  <w:rPr>
                    <w:rFonts w:ascii="Cambria Math" w:eastAsia="Calibri" w:hAnsi="Cambria Math"/>
                    <w:szCs w:val="20"/>
                  </w:rPr>
                  <m:t>Persons/household</m:t>
                </m:r>
              </m:oMath>
            </m:oMathPara>
          </w:p>
        </w:tc>
        <w:tc>
          <w:tcPr>
            <w:tcW w:w="1980" w:type="dxa"/>
            <w:tcBorders>
              <w:top w:val="single" w:sz="8" w:space="0" w:color="DDD9C3"/>
              <w:left w:val="nil"/>
              <w:bottom w:val="single" w:sz="8" w:space="0" w:color="DDD9C3"/>
              <w:right w:val="nil"/>
            </w:tcBorders>
            <w:vAlign w:val="center"/>
            <w:hideMark/>
          </w:tcPr>
          <w:p w14:paraId="0129494F" w14:textId="77777777" w:rsidR="00AE0D1A" w:rsidRDefault="00AE0D1A">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Building America Benchmark</w:t>
            </w:r>
          </w:p>
        </w:tc>
      </w:tr>
      <w:tr w:rsidR="00AE0D1A" w14:paraId="01294955" w14:textId="77777777" w:rsidTr="00AE0D1A">
        <w:trPr>
          <w:cantSplit/>
          <w:jc w:val="center"/>
        </w:trPr>
        <w:tc>
          <w:tcPr>
            <w:cnfStyle w:val="001000000000" w:firstRow="0" w:lastRow="0" w:firstColumn="1" w:lastColumn="0" w:oddVBand="0" w:evenVBand="0" w:oddHBand="0" w:evenHBand="0" w:firstRowFirstColumn="0" w:firstRowLastColumn="0" w:lastRowFirstColumn="0" w:lastRowLastColumn="0"/>
            <w:tcW w:w="1850" w:type="dxa"/>
            <w:tcBorders>
              <w:top w:val="single" w:sz="8" w:space="0" w:color="DDD9C3"/>
              <w:left w:val="nil"/>
              <w:bottom w:val="single" w:sz="8" w:space="0" w:color="92876D"/>
              <w:right w:val="nil"/>
            </w:tcBorders>
            <w:vAlign w:val="center"/>
            <w:hideMark/>
          </w:tcPr>
          <w:p w14:paraId="01294951" w14:textId="77777777" w:rsidR="00AE0D1A" w:rsidRDefault="00AE0D1A">
            <w:pPr>
              <w:keepNext/>
              <w:keepLines/>
              <w:jc w:val="center"/>
              <w:rPr>
                <w:rFonts w:ascii="Calibri" w:eastAsia="Calibri" w:hAnsi="Calibri"/>
                <w:szCs w:val="20"/>
              </w:rPr>
            </w:pPr>
            <m:oMathPara>
              <m:oMath>
                <m:r>
                  <w:rPr>
                    <w:rFonts w:ascii="Cambria Math" w:eastAsia="Calibri" w:hAnsi="Cambria Math"/>
                    <w:szCs w:val="20"/>
                  </w:rPr>
                  <m:t>8.33</m:t>
                </m:r>
              </m:oMath>
            </m:oMathPara>
          </w:p>
        </w:tc>
        <w:tc>
          <w:tcPr>
            <w:tcW w:w="4230" w:type="dxa"/>
            <w:tcBorders>
              <w:top w:val="single" w:sz="8" w:space="0" w:color="DDD9C3"/>
              <w:left w:val="nil"/>
              <w:bottom w:val="single" w:sz="8" w:space="0" w:color="92876D"/>
              <w:right w:val="nil"/>
            </w:tcBorders>
            <w:vAlign w:val="center"/>
            <w:hideMark/>
          </w:tcPr>
          <w:p w14:paraId="01294952" w14:textId="77777777" w:rsidR="00AE0D1A" w:rsidRDefault="00AE0D1A">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Heat capacity of water</w:t>
            </w:r>
          </w:p>
        </w:tc>
        <w:tc>
          <w:tcPr>
            <w:tcW w:w="1440" w:type="dxa"/>
            <w:tcBorders>
              <w:top w:val="single" w:sz="8" w:space="0" w:color="DDD9C3"/>
              <w:left w:val="nil"/>
              <w:bottom w:val="single" w:sz="8" w:space="0" w:color="92876D"/>
              <w:right w:val="nil"/>
            </w:tcBorders>
            <w:vAlign w:val="center"/>
            <w:hideMark/>
          </w:tcPr>
          <w:p w14:paraId="01294953" w14:textId="77777777" w:rsidR="00AE0D1A" w:rsidRDefault="005C5BA2">
            <w:pPr>
              <w:keepNext/>
              <w:keepLines/>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szCs w:val="20"/>
              </w:rPr>
            </w:pPr>
            <m:oMathPara>
              <m:oMath>
                <m:f>
                  <m:fPr>
                    <m:ctrlPr>
                      <w:rPr>
                        <w:rFonts w:ascii="Cambria Math" w:hAnsi="Cambria Math"/>
                        <w:i/>
                      </w:rPr>
                    </m:ctrlPr>
                  </m:fPr>
                  <m:num>
                    <m:r>
                      <w:rPr>
                        <w:rFonts w:ascii="Cambria Math" w:hAnsi="Cambria Math"/>
                        <w:szCs w:val="20"/>
                      </w:rPr>
                      <m:t>btu</m:t>
                    </m:r>
                  </m:num>
                  <m:den>
                    <m:r>
                      <w:rPr>
                        <w:rFonts w:ascii="Cambria Math" w:hAnsi="Cambria Math"/>
                        <w:szCs w:val="20"/>
                      </w:rPr>
                      <m:t>Gal-°F</m:t>
                    </m:r>
                  </m:den>
                </m:f>
              </m:oMath>
            </m:oMathPara>
          </w:p>
        </w:tc>
        <w:tc>
          <w:tcPr>
            <w:tcW w:w="1980" w:type="dxa"/>
            <w:tcBorders>
              <w:top w:val="single" w:sz="8" w:space="0" w:color="DDD9C3"/>
              <w:left w:val="nil"/>
              <w:bottom w:val="single" w:sz="8" w:space="0" w:color="92876D"/>
              <w:right w:val="nil"/>
            </w:tcBorders>
            <w:vAlign w:val="center"/>
            <w:hideMark/>
          </w:tcPr>
          <w:p w14:paraId="01294954" w14:textId="77777777" w:rsidR="00AE0D1A" w:rsidRDefault="00AE0D1A">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Constant</w:t>
            </w:r>
          </w:p>
        </w:tc>
      </w:tr>
    </w:tbl>
    <w:p w14:paraId="01294956" w14:textId="77777777" w:rsidR="00AE0D1A" w:rsidRDefault="00AE0D1A" w:rsidP="00AE0D1A">
      <w:pPr>
        <w:rPr>
          <w:b/>
          <w:szCs w:val="20"/>
        </w:rPr>
      </w:pPr>
    </w:p>
    <w:p w14:paraId="01294957" w14:textId="77777777" w:rsidR="00AE0D1A" w:rsidRDefault="00AE0D1A" w:rsidP="00AE0D1A">
      <w:pPr>
        <w:rPr>
          <w:b/>
          <w:szCs w:val="20"/>
        </w:rPr>
      </w:pPr>
      <w:r>
        <w:rPr>
          <w:b/>
          <w:szCs w:val="20"/>
        </w:rPr>
        <w:t>Clothes Dryer and Stove/Oven Consumption:</w:t>
      </w:r>
    </w:p>
    <w:p w14:paraId="01294958" w14:textId="77777777" w:rsidR="00AE0D1A" w:rsidRDefault="00D728EF" w:rsidP="00AE0D1A">
      <w:pPr>
        <w:rPr>
          <w:i/>
          <w:szCs w:val="20"/>
        </w:rPr>
      </w:pPr>
      <w:r>
        <w:rPr>
          <w:i/>
          <w:szCs w:val="20"/>
        </w:rPr>
        <w:t>Navigant used stove and oven l</w:t>
      </w:r>
      <w:r w:rsidR="00AE0D1A">
        <w:rPr>
          <w:i/>
          <w:szCs w:val="20"/>
        </w:rPr>
        <w:t>oad shapes from Building America.</w:t>
      </w:r>
    </w:p>
    <w:p w14:paraId="01294959" w14:textId="77777777" w:rsidR="00C71AC6" w:rsidRDefault="006E0D96" w:rsidP="00C71AC6">
      <w:pPr>
        <w:pStyle w:val="Heading2"/>
      </w:pPr>
      <w:bookmarkStart w:id="49" w:name="_Toc363131925"/>
      <w:bookmarkStart w:id="50" w:name="_Ref362519509"/>
      <w:bookmarkStart w:id="51" w:name="_Toc340047965"/>
      <w:bookmarkStart w:id="52" w:name="_Toc260224264"/>
      <w:r>
        <w:t>Logger Data Analysis Methodology</w:t>
      </w:r>
      <w:bookmarkEnd w:id="49"/>
    </w:p>
    <w:p w14:paraId="0129495A" w14:textId="77777777" w:rsidR="00090759" w:rsidRDefault="006E0D96" w:rsidP="006E0D96">
      <w:r>
        <w:t xml:space="preserve">After retrieving the data loggers, </w:t>
      </w:r>
      <w:r w:rsidR="00090759">
        <w:t xml:space="preserve">Navigant processed the data through two main steps: first, data quality control (QC) and cleaning, and second, transforming the data from a series of on/off events to </w:t>
      </w:r>
      <w:r w:rsidR="00AF3954">
        <w:t xml:space="preserve">percent on per hour and hourly </w:t>
      </w:r>
      <w:r w:rsidR="00090759">
        <w:t xml:space="preserve">gas consumption data for each site. </w:t>
      </w:r>
    </w:p>
    <w:p w14:paraId="0129495B" w14:textId="77777777" w:rsidR="00090759" w:rsidRDefault="00090759" w:rsidP="00CF687B">
      <w:pPr>
        <w:pStyle w:val="Heading3"/>
      </w:pPr>
      <w:bookmarkStart w:id="53" w:name="_Ref363040275"/>
      <w:bookmarkStart w:id="54" w:name="_Toc363131926"/>
      <w:r>
        <w:t>Data QC and Cleaning</w:t>
      </w:r>
      <w:bookmarkEnd w:id="53"/>
      <w:bookmarkEnd w:id="54"/>
    </w:p>
    <w:p w14:paraId="0129495C" w14:textId="77777777" w:rsidR="006E0D96" w:rsidRDefault="006E0D96" w:rsidP="006E0D96">
      <w:r>
        <w:t>Navigant first analyzed the logger data for quality. We constructed histograms of time between state changes (example in</w:t>
      </w:r>
      <w:r w:rsidR="00233C9D">
        <w:t xml:space="preserve"> </w:t>
      </w:r>
      <w:r w:rsidR="00233C9D">
        <w:fldChar w:fldCharType="begin"/>
      </w:r>
      <w:r w:rsidR="00233C9D">
        <w:instrText xml:space="preserve"> REF _Ref362876384 \h </w:instrText>
      </w:r>
      <w:r w:rsidR="00233C9D">
        <w:fldChar w:fldCharType="separate"/>
      </w:r>
      <w:r w:rsidR="00CF687B">
        <w:t xml:space="preserve">Figure </w:t>
      </w:r>
      <w:r w:rsidR="00CF687B">
        <w:rPr>
          <w:noProof/>
        </w:rPr>
        <w:t>4</w:t>
      </w:r>
      <w:r w:rsidR="00CF687B">
        <w:noBreakHyphen/>
      </w:r>
      <w:r w:rsidR="00CF687B">
        <w:rPr>
          <w:noProof/>
        </w:rPr>
        <w:t>1</w:t>
      </w:r>
      <w:r w:rsidR="00233C9D">
        <w:fldChar w:fldCharType="end"/>
      </w:r>
      <w:r>
        <w:t>) to identify “flicker”</w:t>
      </w:r>
      <w:r>
        <w:rPr>
          <w:rStyle w:val="FootnoteReference"/>
        </w:rPr>
        <w:footnoteReference w:id="18"/>
      </w:r>
      <w:r>
        <w:t xml:space="preserve"> in each logger file and applied flicker filters to </w:t>
      </w:r>
      <w:r>
        <w:lastRenderedPageBreak/>
        <w:t xml:space="preserve">reflect the actual operation of the furnace. </w:t>
      </w:r>
      <w:r w:rsidR="0067504A">
        <w:t>Under the condition where the time between state cha</w:t>
      </w:r>
      <w:r w:rsidR="00A55BFD">
        <w:t>n</w:t>
      </w:r>
      <w:r w:rsidR="0067504A">
        <w:t>ges is less than the flicker filter limit, t</w:t>
      </w:r>
      <w:r w:rsidR="009C3139">
        <w:t xml:space="preserve">he flicker filter </w:t>
      </w:r>
      <w:r w:rsidR="00B70EC1">
        <w:t>corrects the data to the previous state before flicker was obser</w:t>
      </w:r>
      <w:r w:rsidR="0067504A">
        <w:t>ved</w:t>
      </w:r>
      <w:r w:rsidR="009C3139">
        <w:t xml:space="preserve">. The analysis team set </w:t>
      </w:r>
      <w:r w:rsidR="005201B3">
        <w:t>a default</w:t>
      </w:r>
      <w:r w:rsidR="009C3139">
        <w:t xml:space="preserve"> flicker filter </w:t>
      </w:r>
      <w:r w:rsidR="009C3139" w:rsidRPr="00D429F3">
        <w:t xml:space="preserve">limit at 10 seconds for </w:t>
      </w:r>
      <w:r w:rsidR="00D429F3">
        <w:t>most</w:t>
      </w:r>
      <w:r w:rsidR="009C3139" w:rsidRPr="00D429F3">
        <w:t xml:space="preserve"> loggers</w:t>
      </w:r>
      <w:r w:rsidR="00D429F3">
        <w:t xml:space="preserve">. </w:t>
      </w:r>
    </w:p>
    <w:p w14:paraId="0129495D" w14:textId="77777777" w:rsidR="006E0D96" w:rsidRDefault="006E0D96" w:rsidP="00233C9D">
      <w:pPr>
        <w:pStyle w:val="Caption"/>
      </w:pPr>
      <w:bookmarkStart w:id="55" w:name="_Ref362876384"/>
      <w:bookmarkStart w:id="56" w:name="_Toc363131933"/>
      <w:r>
        <w:t xml:space="preserve">Figure </w:t>
      </w:r>
      <w:fldSimple w:instr=" STYLEREF 1 \s ">
        <w:r w:rsidR="00CF687B">
          <w:rPr>
            <w:noProof/>
          </w:rPr>
          <w:t>4</w:t>
        </w:r>
      </w:fldSimple>
      <w:r w:rsidR="00746B41">
        <w:noBreakHyphen/>
      </w:r>
      <w:fldSimple w:instr=" SEQ Figure \* ARABIC \s 1 ">
        <w:r w:rsidR="00CF687B">
          <w:rPr>
            <w:noProof/>
          </w:rPr>
          <w:t>1</w:t>
        </w:r>
      </w:fldSimple>
      <w:bookmarkEnd w:id="55"/>
      <w:r w:rsidR="007E1B72">
        <w:t xml:space="preserve">: Example of </w:t>
      </w:r>
      <w:r>
        <w:t>Flicke</w:t>
      </w:r>
      <w:r w:rsidR="007E1B72">
        <w:t>r</w:t>
      </w:r>
      <w:r w:rsidR="00233C9D">
        <w:t xml:space="preserve"> Identification via Histogram</w:t>
      </w:r>
      <w:r w:rsidR="00090759">
        <w:t xml:space="preserve"> Chart of Event Duration</w:t>
      </w:r>
      <w:bookmarkEnd w:id="56"/>
    </w:p>
    <w:p w14:paraId="0129495E" w14:textId="77777777" w:rsidR="006E0D96" w:rsidRDefault="006E0D96" w:rsidP="006E0D96">
      <w:r>
        <w:rPr>
          <w:noProof/>
        </w:rPr>
        <mc:AlternateContent>
          <mc:Choice Requires="wpg">
            <w:drawing>
              <wp:anchor distT="0" distB="0" distL="114300" distR="114300" simplePos="0" relativeHeight="251695104" behindDoc="0" locked="0" layoutInCell="1" allowOverlap="1" wp14:anchorId="012949BF" wp14:editId="012949C0">
                <wp:simplePos x="0" y="0"/>
                <wp:positionH relativeFrom="column">
                  <wp:posOffset>704850</wp:posOffset>
                </wp:positionH>
                <wp:positionV relativeFrom="paragraph">
                  <wp:posOffset>314960</wp:posOffset>
                </wp:positionV>
                <wp:extent cx="952500" cy="276225"/>
                <wp:effectExtent l="38100" t="0" r="0" b="66675"/>
                <wp:wrapNone/>
                <wp:docPr id="56" name="Group 56"/>
                <wp:cNvGraphicFramePr/>
                <a:graphic xmlns:a="http://schemas.openxmlformats.org/drawingml/2006/main">
                  <a:graphicData uri="http://schemas.microsoft.com/office/word/2010/wordprocessingGroup">
                    <wpg:wgp>
                      <wpg:cNvGrpSpPr/>
                      <wpg:grpSpPr>
                        <a:xfrm>
                          <a:off x="0" y="0"/>
                          <a:ext cx="952500" cy="276225"/>
                          <a:chOff x="0" y="0"/>
                          <a:chExt cx="952500" cy="276225"/>
                        </a:xfrm>
                      </wpg:grpSpPr>
                      <wps:wsp>
                        <wps:cNvPr id="57" name="Straight Arrow Connector 57"/>
                        <wps:cNvCnPr/>
                        <wps:spPr>
                          <a:xfrm flipH="1">
                            <a:off x="0" y="161925"/>
                            <a:ext cx="266701" cy="104775"/>
                          </a:xfrm>
                          <a:prstGeom prst="straightConnector1">
                            <a:avLst/>
                          </a:prstGeom>
                          <a:ln w="158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58" name="Text Box 2"/>
                        <wps:cNvSpPr txBox="1">
                          <a:spLocks noChangeArrowheads="1"/>
                        </wps:cNvSpPr>
                        <wps:spPr bwMode="auto">
                          <a:xfrm>
                            <a:off x="200025" y="0"/>
                            <a:ext cx="752475" cy="276225"/>
                          </a:xfrm>
                          <a:prstGeom prst="rect">
                            <a:avLst/>
                          </a:prstGeom>
                          <a:noFill/>
                          <a:ln w="9525">
                            <a:noFill/>
                            <a:miter lim="800000"/>
                            <a:headEnd/>
                            <a:tailEnd/>
                          </a:ln>
                        </wps:spPr>
                        <wps:txbx>
                          <w:txbxContent>
                            <w:p w14:paraId="012949E6" w14:textId="77777777" w:rsidR="00B301EA" w:rsidRDefault="00B301EA" w:rsidP="006E0D96">
                              <w:r>
                                <w:t>“flicker”</w:t>
                              </w:r>
                            </w:p>
                          </w:txbxContent>
                        </wps:txbx>
                        <wps:bodyPr rot="0" vert="horz" wrap="square" lIns="91440" tIns="45720" rIns="91440" bIns="45720" anchor="t" anchorCtr="0">
                          <a:spAutoFit/>
                        </wps:bodyPr>
                      </wps:wsp>
                    </wpg:wgp>
                  </a:graphicData>
                </a:graphic>
              </wp:anchor>
            </w:drawing>
          </mc:Choice>
          <mc:Fallback>
            <w:pict>
              <v:group id="Group 56" o:spid="_x0000_s1026" style="position:absolute;margin-left:55.5pt;margin-top:24.8pt;width:75pt;height:21.75pt;z-index:251695104" coordsize="9525,2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">
                <v:shapetype id="_x0000_t32" coordsize="21600,21600" o:spt="32" o:oned="t" path="m,l21600,21600e" filled="f">
                  <v:path arrowok="t" fillok="f" o:connecttype="none"/>
                  <o:lock v:ext="edit" shapetype="t"/>
                </v:shapetype>
                <v:shape id="Straight Arrow Connector 57" o:spid="_x0000_s1027" type="#_x0000_t32" style="position:absolute;top:1619;width:2667;height:104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8IbcYAAADbAAAADwAAAGRycy9kb3ducmV2LnhtbESPT2vCQBTE74LfYXlCL1I3/i8xq0ih&#10;UqiHavXg7TX7zIZk34bsVtNv3y0Uehxm5jdMtulsLW7U+tKxgvEoAUGcO11yoeD08fL4BMIHZI21&#10;Y1LwTR42634vw1S7Ox/odgyFiBD2KSowITSplD43ZNGPXEMcvatrLYYo20LqFu8Rbms5SZKFtFhy&#10;XDDY0LOhvDp+WQWT4dvn++wwD5zsq+F0cTHnXW6Uehh02xWIQF34D/+1X7WC+RJ+v8QfIN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EvCG3GAAAA2wAAAA8AAAAAAAAA&#10;AAAAAAAAoQIAAGRycy9kb3ducmV2LnhtbFBLBQYAAAAABAAEAPkAAACUAwAAAAA=&#10;" strokecolor="black [3213]" strokeweight="1.25pt">
                  <v:stroke endarrow="open"/>
                </v:shape>
                <v:shapetype id="_x0000_t202" coordsize="21600,21600" o:spt="202" path="m,l,21600r21600,l21600,xe">
                  <v:stroke joinstyle="miter"/>
                  <v:path gradientshapeok="t" o:connecttype="rect"/>
                </v:shapetype>
                <v:shape id="Text Box 2" o:spid="_x0000_s1028" type="#_x0000_t202" style="position:absolute;left:2000;width:7525;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S/r4A&#10;AADbAAAADwAAAGRycy9kb3ducmV2LnhtbERPS4vCMBC+L/gfwgje1lTBZalGER/gwcu69T40Y1Ns&#10;JqUZbf335rCwx4/vvdoMvlFP6mId2MBsmoEiLoOtuTJQ/B4/v0FFQbbYBCYDL4qwWY8+Vpjb0PMP&#10;PS9SqRTCMUcDTqTNtY6lI49xGlrixN1C51ES7CptO+xTuG/0PMu+tMeaU4PDlnaOyvvl4Q2I2O3s&#10;VRx8PF2H8753WbnAwpjJeNguQQkN8i/+c5+sgUUam76kH6DXb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Kf0v6+AAAA2wAAAA8AAAAAAAAAAAAAAAAAmAIAAGRycy9kb3ducmV2&#10;LnhtbFBLBQYAAAAABAAEAPUAAACDAwAAAAA=&#10;" filled="f" stroked="f">
                  <v:textbox style="mso-fit-shape-to-text:t">
                    <w:txbxContent>
                      <w:p w:rsidR="00B301EA" w:rsidRDefault="00B301EA" w:rsidP="006E0D96">
                        <w:r>
                          <w:t>“flicker”</w:t>
                        </w:r>
                      </w:p>
                    </w:txbxContent>
                  </v:textbox>
                </v:shape>
              </v:group>
            </w:pict>
          </mc:Fallback>
        </mc:AlternateContent>
      </w:r>
      <w:r>
        <w:rPr>
          <w:noProof/>
        </w:rPr>
        <w:drawing>
          <wp:inline distT="0" distB="0" distL="0" distR="0" wp14:anchorId="012949C1" wp14:editId="012949C2">
            <wp:extent cx="5636543" cy="1666875"/>
            <wp:effectExtent l="0" t="0" r="254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640048" cy="1667912"/>
                    </a:xfrm>
                    <a:prstGeom prst="rect">
                      <a:avLst/>
                    </a:prstGeom>
                  </pic:spPr>
                </pic:pic>
              </a:graphicData>
            </a:graphic>
          </wp:inline>
        </w:drawing>
      </w:r>
    </w:p>
    <w:p w14:paraId="0129495F" w14:textId="77777777" w:rsidR="006E0D96" w:rsidRPr="00CF687B" w:rsidRDefault="00090759" w:rsidP="006E0D96">
      <w:pPr>
        <w:rPr>
          <w:i/>
        </w:rPr>
      </w:pPr>
      <w:r w:rsidRPr="00CF687B">
        <w:rPr>
          <w:i/>
        </w:rPr>
        <w:t>The x-axis is a logarithmic scale of event duration, and the y-axis shows the frequency of event durations. The two spikes and two and three seconds likely indicate flicker (due to nearby currents or startup pulses) and not actual gas consumption.</w:t>
      </w:r>
    </w:p>
    <w:p w14:paraId="01294960" w14:textId="77777777" w:rsidR="00090759" w:rsidRDefault="00090759" w:rsidP="00F84430"/>
    <w:p w14:paraId="01294961" w14:textId="77777777" w:rsidR="00B70EC1" w:rsidRDefault="00B70EC1" w:rsidP="00B70EC1">
      <w:r>
        <w:t>Navigant set custom flicker filters for loggers that showed significant flicker slightly above 10 seconds. In the example shown in</w:t>
      </w:r>
      <w:r w:rsidR="009962CF">
        <w:t xml:space="preserve"> </w:t>
      </w:r>
      <w:r w:rsidR="009962CF">
        <w:fldChar w:fldCharType="begin"/>
      </w:r>
      <w:r w:rsidR="009962CF">
        <w:instrText xml:space="preserve"> REF _Ref363078207 \h </w:instrText>
      </w:r>
      <w:r w:rsidR="009962CF">
        <w:fldChar w:fldCharType="separate"/>
      </w:r>
      <w:r w:rsidR="00CF687B">
        <w:t xml:space="preserve">Figure </w:t>
      </w:r>
      <w:r w:rsidR="00CF687B">
        <w:rPr>
          <w:noProof/>
        </w:rPr>
        <w:t>4</w:t>
      </w:r>
      <w:r w:rsidR="00CF687B">
        <w:noBreakHyphen/>
      </w:r>
      <w:r w:rsidR="00CF687B">
        <w:rPr>
          <w:noProof/>
        </w:rPr>
        <w:t>2</w:t>
      </w:r>
      <w:r w:rsidR="009962CF">
        <w:fldChar w:fldCharType="end"/>
      </w:r>
      <w:r>
        <w:t>, Navigant determined that furnace operation is better characterized by setting a flicker filter limit of 20 seconds, which still only reduced the furnace run time estimation by 0.8% compared to no flicker filter limit. Generally flicker filters had a trivial effect (between 0% and 0.8%) on the estimation of furnace run time.</w:t>
      </w:r>
    </w:p>
    <w:p w14:paraId="01294962" w14:textId="77777777" w:rsidR="00B70EC1" w:rsidRDefault="00B70EC1" w:rsidP="00F84430"/>
    <w:p w14:paraId="01294963" w14:textId="77777777" w:rsidR="00B70EC1" w:rsidRDefault="00B70EC1" w:rsidP="00B70EC1">
      <w:pPr>
        <w:pStyle w:val="Caption"/>
      </w:pPr>
      <w:bookmarkStart w:id="57" w:name="_Ref363078207"/>
      <w:bookmarkStart w:id="58" w:name="_Toc363131934"/>
      <w:r>
        <w:t xml:space="preserve">Figure </w:t>
      </w:r>
      <w:fldSimple w:instr=" STYLEREF 1 \s ">
        <w:r w:rsidR="00CF687B">
          <w:rPr>
            <w:noProof/>
          </w:rPr>
          <w:t>4</w:t>
        </w:r>
      </w:fldSimple>
      <w:r w:rsidR="00746B41">
        <w:noBreakHyphen/>
      </w:r>
      <w:fldSimple w:instr=" SEQ Figure \* ARABIC \s 1 ">
        <w:r w:rsidR="00CF687B">
          <w:rPr>
            <w:noProof/>
          </w:rPr>
          <w:t>2</w:t>
        </w:r>
      </w:fldSimple>
      <w:bookmarkEnd w:id="57"/>
      <w:r w:rsidR="007E1B72">
        <w:t>: Example of High Flicker</w:t>
      </w:r>
      <w:r>
        <w:t xml:space="preserve"> Identification via Histogram Chart of Event Duration</w:t>
      </w:r>
      <w:bookmarkEnd w:id="58"/>
    </w:p>
    <w:p w14:paraId="01294964" w14:textId="77777777" w:rsidR="00B70EC1" w:rsidRDefault="00B70EC1" w:rsidP="00F84430">
      <w:r>
        <w:rPr>
          <w:noProof/>
        </w:rPr>
        <w:drawing>
          <wp:inline distT="0" distB="0" distL="0" distR="0" wp14:anchorId="012949C3" wp14:editId="012949C4">
            <wp:extent cx="5753100" cy="1690895"/>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65675" cy="1694591"/>
                    </a:xfrm>
                    <a:prstGeom prst="rect">
                      <a:avLst/>
                    </a:prstGeom>
                  </pic:spPr>
                </pic:pic>
              </a:graphicData>
            </a:graphic>
          </wp:inline>
        </w:drawing>
      </w:r>
    </w:p>
    <w:p w14:paraId="01294965" w14:textId="77777777" w:rsidR="00B70EC1" w:rsidRDefault="00B70EC1" w:rsidP="00F84430"/>
    <w:p w14:paraId="01294966" w14:textId="77777777" w:rsidR="00F84430" w:rsidRDefault="00452EB0" w:rsidP="00F84430">
      <w:r>
        <w:t xml:space="preserve">Navigant generated weekly, monthly, and seasonal graphs to ensure the blower motor operation, gas valve operation, and indoor temperature data were consistent. </w:t>
      </w:r>
      <w:r>
        <w:fldChar w:fldCharType="begin"/>
      </w:r>
      <w:r>
        <w:instrText xml:space="preserve"> REF _Ref362880532 \h </w:instrText>
      </w:r>
      <w:r>
        <w:fldChar w:fldCharType="separate"/>
      </w:r>
      <w:r w:rsidR="00CF687B">
        <w:t xml:space="preserve">Figure </w:t>
      </w:r>
      <w:r w:rsidR="00CF687B">
        <w:rPr>
          <w:noProof/>
        </w:rPr>
        <w:t>4</w:t>
      </w:r>
      <w:r w:rsidR="00CF687B">
        <w:noBreakHyphen/>
      </w:r>
      <w:r w:rsidR="00CF687B">
        <w:rPr>
          <w:noProof/>
        </w:rPr>
        <w:t>3</w:t>
      </w:r>
      <w:r>
        <w:fldChar w:fldCharType="end"/>
      </w:r>
      <w:r>
        <w:t xml:space="preserve"> shows an example of these weekly graphs, which in this particular case Navigant determined the dataset to be reasonable based on matching blower (top) and single stage gas valve operation (middle) and the temperature setbacks (bottom) associated with lack of furnace operation.</w:t>
      </w:r>
    </w:p>
    <w:p w14:paraId="01294967" w14:textId="77777777" w:rsidR="00F84430" w:rsidRDefault="00F84430" w:rsidP="00F84430"/>
    <w:p w14:paraId="01294968" w14:textId="77777777" w:rsidR="00F84430" w:rsidRDefault="00F84430" w:rsidP="00F84430">
      <w:pPr>
        <w:pStyle w:val="Caption"/>
      </w:pPr>
      <w:bookmarkStart w:id="59" w:name="_Ref362880532"/>
      <w:bookmarkStart w:id="60" w:name="_Toc363131935"/>
      <w:r>
        <w:lastRenderedPageBreak/>
        <w:t xml:space="preserve">Figure </w:t>
      </w:r>
      <w:fldSimple w:instr=" STYLEREF 1 \s ">
        <w:r w:rsidR="00CF687B">
          <w:rPr>
            <w:noProof/>
          </w:rPr>
          <w:t>4</w:t>
        </w:r>
      </w:fldSimple>
      <w:r w:rsidR="00746B41">
        <w:noBreakHyphen/>
      </w:r>
      <w:fldSimple w:instr=" SEQ Figure \* ARABIC \s 1 ">
        <w:r w:rsidR="00CF687B">
          <w:rPr>
            <w:noProof/>
          </w:rPr>
          <w:t>3</w:t>
        </w:r>
      </w:fldSimple>
      <w:bookmarkEnd w:id="59"/>
      <w:r>
        <w:t>:</w:t>
      </w:r>
      <w:r w:rsidRPr="00F84430">
        <w:t xml:space="preserve"> Example Weekly Furnace Operation Graphs</w:t>
      </w:r>
      <w:bookmarkEnd w:id="60"/>
    </w:p>
    <w:p w14:paraId="01294969" w14:textId="77777777" w:rsidR="00F84430" w:rsidRDefault="00B70EC1" w:rsidP="00F84430">
      <w:r>
        <w:rPr>
          <w:noProof/>
        </w:rPr>
        <w:drawing>
          <wp:inline distT="0" distB="0" distL="0" distR="0" wp14:anchorId="012949C5" wp14:editId="012949C6">
            <wp:extent cx="5943600" cy="35896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43600" cy="3589655"/>
                    </a:xfrm>
                    <a:prstGeom prst="rect">
                      <a:avLst/>
                    </a:prstGeom>
                  </pic:spPr>
                </pic:pic>
              </a:graphicData>
            </a:graphic>
          </wp:inline>
        </w:drawing>
      </w:r>
    </w:p>
    <w:p w14:paraId="0129496A" w14:textId="77777777" w:rsidR="009962CF" w:rsidRDefault="009962CF" w:rsidP="00F84430"/>
    <w:p w14:paraId="0129496B" w14:textId="77777777" w:rsidR="009962CF" w:rsidRDefault="009962CF" w:rsidP="00F84430">
      <w:r>
        <w:t xml:space="preserve">Navigant also used meter readings from the installation and retrieval visits as a quality check to ensure that the calculated furnace consumption estimates did not exceed the home’s total metered gas use for the same time period. This step improved the team’s ability to identify potential “problem” sites and analysis errors. In the final dataset, several sites showed high (90% or greater) metered consumption relative to the meter readings, but none above 100%. There were also sites on the “low” end; to avoid potential bias, Navigant used data from all 39 homes visited. Although the team experienced some logger failures, the duplicative effort of installing loggers on both the gas valve and blower motor allowed Navigant to estimate gas usage for the one site with a failed gas valve logger (other failures were all on blower motor loggers). </w:t>
      </w:r>
    </w:p>
    <w:p w14:paraId="0129496C" w14:textId="77777777" w:rsidR="00090759" w:rsidRDefault="00090759" w:rsidP="00CF687B">
      <w:pPr>
        <w:pStyle w:val="Heading3"/>
      </w:pPr>
      <w:bookmarkStart w:id="61" w:name="_Toc363131927"/>
      <w:r>
        <w:t>Calculation of Run Time and Gas Consumption</w:t>
      </w:r>
      <w:bookmarkEnd w:id="61"/>
    </w:p>
    <w:p w14:paraId="0129496D" w14:textId="77777777" w:rsidR="00937274" w:rsidRDefault="00F84430" w:rsidP="006E0D96">
      <w:r>
        <w:t>The evaluation team then removed all data on and before the installation date and on and after the retrieval date and converted the filtered logger data into percent “on” per hour for the logging time period. For dual stage furnaces, because the low stage logger was also “on” when the furnace ran in high stage, Navigant subtracted the high stage operation time from the low stage operation time to determine the actual low stage operation time per hour</w:t>
      </w:r>
      <w:r w:rsidR="00056A11">
        <w:t xml:space="preserve"> as outlined in the algorithm below</w:t>
      </w:r>
      <w:r w:rsidR="00090759">
        <w:t xml:space="preserve">: </w:t>
      </w:r>
    </w:p>
    <w:p w14:paraId="0129496E" w14:textId="77777777" w:rsidR="00937274" w:rsidRDefault="00937274" w:rsidP="006E0D96"/>
    <w:p w14:paraId="0129496F" w14:textId="77777777" w:rsidR="00937274" w:rsidRPr="00CD7817" w:rsidRDefault="005C5BA2" w:rsidP="006E0D96">
      <m:oMathPara>
        <m:oMath>
          <m:sSub>
            <m:sSubPr>
              <m:ctrlPr>
                <w:rPr>
                  <w:rFonts w:ascii="Cambria Math" w:hAnsi="Cambria Math"/>
                  <w:i/>
                </w:rPr>
              </m:ctrlPr>
            </m:sSubPr>
            <m:e>
              <m:sSub>
                <m:sSubPr>
                  <m:ctrlPr>
                    <w:rPr>
                      <w:rFonts w:ascii="Cambria Math" w:hAnsi="Cambria Math"/>
                      <w:i/>
                    </w:rPr>
                  </m:ctrlPr>
                </m:sSubPr>
                <m:e>
                  <m:r>
                    <w:rPr>
                      <w:rFonts w:ascii="Cambria Math" w:hAnsi="Cambria Math"/>
                    </w:rPr>
                    <m:t>(RunTime</m:t>
                  </m:r>
                </m:e>
                <m:sub>
                  <m:r>
                    <w:rPr>
                      <w:rFonts w:ascii="Cambria Math" w:hAnsi="Cambria Math"/>
                    </w:rPr>
                    <m:t>low</m:t>
                  </m:r>
                </m:sub>
              </m:sSub>
              <m:r>
                <w:rPr>
                  <w:rFonts w:ascii="Cambria Math" w:hAnsi="Cambria Math"/>
                </w:rPr>
                <m:t>)</m:t>
              </m:r>
            </m:e>
            <m:sub>
              <m:r>
                <w:rPr>
                  <w:rFonts w:ascii="Cambria Math" w:hAnsi="Cambria Math"/>
                </w:rPr>
                <m:t>i</m:t>
              </m:r>
            </m:sub>
          </m:sSub>
          <m:r>
            <w:rPr>
              <w:rFonts w:ascii="Cambria Math" w:hAnsi="Cambria Math"/>
            </w:rPr>
            <m:t>=</m:t>
          </m:r>
          <m:sSub>
            <m:sSubPr>
              <m:ctrlPr>
                <w:rPr>
                  <w:rFonts w:ascii="Cambria Math" w:hAnsi="Cambria Math"/>
                  <w:i/>
                </w:rPr>
              </m:ctrlPr>
            </m:sSubPr>
            <m:e>
              <m:sSub>
                <m:sSubPr>
                  <m:ctrlPr>
                    <w:rPr>
                      <w:rFonts w:ascii="Cambria Math" w:hAnsi="Cambria Math"/>
                      <w:i/>
                    </w:rPr>
                  </m:ctrlPr>
                </m:sSubPr>
                <m:e>
                  <m:r>
                    <w:rPr>
                      <w:rFonts w:ascii="Cambria Math" w:hAnsi="Cambria Math"/>
                    </w:rPr>
                    <m:t>(RunTime</m:t>
                  </m:r>
                </m:e>
                <m:sub>
                  <m:r>
                    <w:rPr>
                      <w:rFonts w:ascii="Cambria Math" w:hAnsi="Cambria Math"/>
                    </w:rPr>
                    <m:t>total</m:t>
                  </m:r>
                </m:sub>
              </m:sSub>
              <m:r>
                <w:rPr>
                  <w:rFonts w:ascii="Cambria Math" w:hAnsi="Cambria Math"/>
                </w:rPr>
                <m:t>)</m:t>
              </m:r>
            </m:e>
            <m:sub>
              <m:r>
                <w:rPr>
                  <w:rFonts w:ascii="Cambria Math" w:hAnsi="Cambria Math"/>
                </w:rPr>
                <m:t>i</m:t>
              </m:r>
            </m:sub>
          </m:sSub>
          <m:r>
            <w:rPr>
              <w:rFonts w:ascii="Cambria Math" w:hAnsi="Cambria Math"/>
            </w:rPr>
            <m:t>-</m:t>
          </m:r>
          <m:sSub>
            <m:sSubPr>
              <m:ctrlPr>
                <w:rPr>
                  <w:rFonts w:ascii="Cambria Math" w:hAnsi="Cambria Math"/>
                  <w:i/>
                </w:rPr>
              </m:ctrlPr>
            </m:sSubPr>
            <m:e>
              <m:sSub>
                <m:sSubPr>
                  <m:ctrlPr>
                    <w:rPr>
                      <w:rFonts w:ascii="Cambria Math" w:hAnsi="Cambria Math"/>
                      <w:i/>
                    </w:rPr>
                  </m:ctrlPr>
                </m:sSubPr>
                <m:e>
                  <m:r>
                    <w:rPr>
                      <w:rFonts w:ascii="Cambria Math" w:hAnsi="Cambria Math"/>
                    </w:rPr>
                    <m:t>(RunTime</m:t>
                  </m:r>
                </m:e>
                <m:sub>
                  <m:r>
                    <w:rPr>
                      <w:rFonts w:ascii="Cambria Math" w:hAnsi="Cambria Math"/>
                    </w:rPr>
                    <m:t>high</m:t>
                  </m:r>
                </m:sub>
              </m:sSub>
              <m:r>
                <w:rPr>
                  <w:rFonts w:ascii="Cambria Math" w:hAnsi="Cambria Math"/>
                </w:rPr>
                <m:t>)</m:t>
              </m:r>
            </m:e>
            <m:sub>
              <m:r>
                <w:rPr>
                  <w:rFonts w:ascii="Cambria Math" w:hAnsi="Cambria Math"/>
                </w:rPr>
                <m:t>i</m:t>
              </m:r>
            </m:sub>
          </m:sSub>
        </m:oMath>
      </m:oMathPara>
    </w:p>
    <w:p w14:paraId="01294970" w14:textId="77777777" w:rsidR="00CD7817" w:rsidRDefault="00CD7817" w:rsidP="006E0D96"/>
    <w:tbl>
      <w:tblPr>
        <w:tblStyle w:val="EnergyTable"/>
        <w:tblW w:w="0" w:type="auto"/>
        <w:jc w:val="center"/>
        <w:tblLook w:val="04A0" w:firstRow="1" w:lastRow="0" w:firstColumn="1" w:lastColumn="0" w:noHBand="0" w:noVBand="1"/>
      </w:tblPr>
      <w:tblGrid>
        <w:gridCol w:w="1915"/>
        <w:gridCol w:w="3930"/>
        <w:gridCol w:w="1497"/>
        <w:gridCol w:w="2162"/>
      </w:tblGrid>
      <w:tr w:rsidR="00CD7817" w14:paraId="01294975" w14:textId="77777777" w:rsidTr="00090759">
        <w:trPr>
          <w:cnfStyle w:val="100000000000" w:firstRow="1" w:lastRow="0" w:firstColumn="0" w:lastColumn="0" w:oddVBand="0" w:evenVBand="0" w:oddHBand="0" w:evenHBand="0"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915" w:type="dxa"/>
            <w:tcBorders>
              <w:top w:val="single" w:sz="8" w:space="0" w:color="DDD9C3"/>
              <w:left w:val="nil"/>
              <w:right w:val="nil"/>
            </w:tcBorders>
            <w:vAlign w:val="center"/>
            <w:hideMark/>
          </w:tcPr>
          <w:p w14:paraId="01294971" w14:textId="77777777" w:rsidR="00CD7817" w:rsidRDefault="00CD7817" w:rsidP="00090759">
            <w:pPr>
              <w:keepNext/>
              <w:keepLines/>
              <w:jc w:val="center"/>
              <w:rPr>
                <w:szCs w:val="20"/>
              </w:rPr>
            </w:pPr>
            <w:r>
              <w:rPr>
                <w:szCs w:val="20"/>
              </w:rPr>
              <w:lastRenderedPageBreak/>
              <w:t>Parameter</w:t>
            </w:r>
          </w:p>
        </w:tc>
        <w:tc>
          <w:tcPr>
            <w:tcW w:w="3930" w:type="dxa"/>
            <w:tcBorders>
              <w:top w:val="single" w:sz="8" w:space="0" w:color="DDD9C3"/>
              <w:left w:val="nil"/>
              <w:right w:val="nil"/>
            </w:tcBorders>
            <w:vAlign w:val="center"/>
            <w:hideMark/>
          </w:tcPr>
          <w:p w14:paraId="01294972" w14:textId="77777777" w:rsidR="00CD7817" w:rsidRDefault="00CD7817" w:rsidP="00090759">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Description</w:t>
            </w:r>
          </w:p>
        </w:tc>
        <w:tc>
          <w:tcPr>
            <w:tcW w:w="1497" w:type="dxa"/>
            <w:tcBorders>
              <w:top w:val="single" w:sz="8" w:space="0" w:color="DDD9C3"/>
              <w:left w:val="nil"/>
              <w:right w:val="nil"/>
            </w:tcBorders>
            <w:vAlign w:val="center"/>
            <w:hideMark/>
          </w:tcPr>
          <w:p w14:paraId="01294973" w14:textId="77777777" w:rsidR="00CD7817" w:rsidRDefault="00CD7817" w:rsidP="00090759">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Units</w:t>
            </w:r>
          </w:p>
        </w:tc>
        <w:tc>
          <w:tcPr>
            <w:tcW w:w="2162" w:type="dxa"/>
            <w:tcBorders>
              <w:top w:val="single" w:sz="8" w:space="0" w:color="DDD9C3"/>
              <w:left w:val="nil"/>
              <w:right w:val="nil"/>
            </w:tcBorders>
            <w:vAlign w:val="center"/>
            <w:hideMark/>
          </w:tcPr>
          <w:p w14:paraId="01294974" w14:textId="77777777" w:rsidR="00CD7817" w:rsidRDefault="00CD7817" w:rsidP="00090759">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Source</w:t>
            </w:r>
          </w:p>
        </w:tc>
      </w:tr>
      <w:tr w:rsidR="00CD7817" w14:paraId="0129497A" w14:textId="77777777" w:rsidTr="00E26807">
        <w:trPr>
          <w:cantSplit/>
          <w:trHeight w:val="412"/>
          <w:jc w:val="center"/>
        </w:trPr>
        <w:tc>
          <w:tcPr>
            <w:cnfStyle w:val="001000000000" w:firstRow="0" w:lastRow="0" w:firstColumn="1" w:lastColumn="0" w:oddVBand="0" w:evenVBand="0" w:oddHBand="0" w:evenHBand="0" w:firstRowFirstColumn="0" w:firstRowLastColumn="0" w:lastRowFirstColumn="0" w:lastRowLastColumn="0"/>
            <w:tcW w:w="1915" w:type="dxa"/>
            <w:tcBorders>
              <w:top w:val="single" w:sz="8" w:space="0" w:color="DDD9C3"/>
              <w:left w:val="nil"/>
              <w:bottom w:val="single" w:sz="8" w:space="0" w:color="DDD9C3"/>
              <w:right w:val="nil"/>
            </w:tcBorders>
            <w:vAlign w:val="center"/>
            <w:hideMark/>
          </w:tcPr>
          <w:p w14:paraId="01294976" w14:textId="77777777" w:rsidR="00CD7817" w:rsidRDefault="005C5BA2" w:rsidP="00090759">
            <w:pPr>
              <w:keepNext/>
              <w:keepLines/>
              <w:jc w:val="center"/>
              <w:rPr>
                <w:rFonts w:ascii="Calibri" w:eastAsia="Calibri" w:hAnsi="Calibri"/>
                <w:szCs w:val="20"/>
              </w:rPr>
            </w:pPr>
            <m:oMathPara>
              <m:oMath>
                <m:sSub>
                  <m:sSubPr>
                    <m:ctrlPr>
                      <w:rPr>
                        <w:rFonts w:ascii="Cambria Math" w:eastAsia="Calibri" w:hAnsi="Cambria Math"/>
                        <w:i/>
                        <w:szCs w:val="20"/>
                      </w:rPr>
                    </m:ctrlPr>
                  </m:sSubPr>
                  <m:e>
                    <m:sSub>
                      <m:sSubPr>
                        <m:ctrlPr>
                          <w:rPr>
                            <w:rFonts w:ascii="Cambria Math" w:eastAsia="Calibri" w:hAnsi="Cambria Math"/>
                            <w:i/>
                            <w:szCs w:val="20"/>
                          </w:rPr>
                        </m:ctrlPr>
                      </m:sSubPr>
                      <m:e>
                        <m:r>
                          <w:rPr>
                            <w:rFonts w:ascii="Cambria Math" w:eastAsia="Calibri" w:hAnsi="Cambria Math"/>
                            <w:szCs w:val="20"/>
                          </w:rPr>
                          <m:t>(RunTime</m:t>
                        </m:r>
                      </m:e>
                      <m:sub>
                        <m:r>
                          <w:rPr>
                            <w:rFonts w:ascii="Cambria Math" w:eastAsia="Calibri" w:hAnsi="Cambria Math"/>
                            <w:szCs w:val="20"/>
                          </w:rPr>
                          <m:t>low</m:t>
                        </m:r>
                      </m:sub>
                    </m:sSub>
                    <m:r>
                      <w:rPr>
                        <w:rFonts w:ascii="Cambria Math" w:eastAsia="Calibri" w:hAnsi="Cambria Math"/>
                        <w:szCs w:val="20"/>
                      </w:rPr>
                      <m:t>)</m:t>
                    </m:r>
                  </m:e>
                  <m:sub>
                    <m:r>
                      <w:rPr>
                        <w:rFonts w:ascii="Cambria Math" w:eastAsia="Calibri" w:hAnsi="Cambria Math"/>
                        <w:szCs w:val="20"/>
                      </w:rPr>
                      <m:t>i</m:t>
                    </m:r>
                  </m:sub>
                </m:sSub>
              </m:oMath>
            </m:oMathPara>
          </w:p>
        </w:tc>
        <w:tc>
          <w:tcPr>
            <w:tcW w:w="3930" w:type="dxa"/>
            <w:tcBorders>
              <w:top w:val="single" w:sz="8" w:space="0" w:color="DDD9C3"/>
              <w:left w:val="nil"/>
              <w:bottom w:val="single" w:sz="8" w:space="0" w:color="DDD9C3"/>
              <w:right w:val="nil"/>
            </w:tcBorders>
            <w:vAlign w:val="center"/>
            <w:hideMark/>
          </w:tcPr>
          <w:p w14:paraId="01294977" w14:textId="77777777" w:rsidR="00CD7817" w:rsidRDefault="00CD7817" w:rsidP="00CD7817">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Low stage furnace run time</w:t>
            </w:r>
            <w:r w:rsidR="00056A11">
              <w:rPr>
                <w:szCs w:val="20"/>
              </w:rPr>
              <w:t xml:space="preserve"> in hour i</w:t>
            </w:r>
          </w:p>
        </w:tc>
        <w:tc>
          <w:tcPr>
            <w:tcW w:w="1497" w:type="dxa"/>
            <w:tcBorders>
              <w:top w:val="single" w:sz="8" w:space="0" w:color="DDD9C3"/>
              <w:left w:val="nil"/>
              <w:bottom w:val="single" w:sz="8" w:space="0" w:color="DDD9C3"/>
              <w:right w:val="nil"/>
            </w:tcBorders>
            <w:vAlign w:val="center"/>
            <w:hideMark/>
          </w:tcPr>
          <w:p w14:paraId="01294978" w14:textId="77777777" w:rsidR="00CD7817" w:rsidRDefault="00E26807" w:rsidP="00090759">
            <w:pPr>
              <w:keepNext/>
              <w:keepLines/>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szCs w:val="20"/>
              </w:rPr>
            </w:pPr>
            <m:oMathPara>
              <m:oMath>
                <m:r>
                  <w:rPr>
                    <w:rFonts w:ascii="Cambria Math" w:eastAsia="Calibri" w:hAnsi="Cambria Math"/>
                    <w:szCs w:val="20"/>
                  </w:rPr>
                  <m:t>time</m:t>
                </m:r>
              </m:oMath>
            </m:oMathPara>
          </w:p>
        </w:tc>
        <w:tc>
          <w:tcPr>
            <w:tcW w:w="2162" w:type="dxa"/>
            <w:tcBorders>
              <w:top w:val="single" w:sz="8" w:space="0" w:color="DDD9C3"/>
              <w:left w:val="nil"/>
              <w:bottom w:val="single" w:sz="8" w:space="0" w:color="DDD9C3"/>
              <w:right w:val="nil"/>
            </w:tcBorders>
            <w:vAlign w:val="center"/>
            <w:hideMark/>
          </w:tcPr>
          <w:p w14:paraId="01294979" w14:textId="77777777" w:rsidR="00CD7817" w:rsidRDefault="00CD7817" w:rsidP="00090759">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Calculated</w:t>
            </w:r>
          </w:p>
        </w:tc>
      </w:tr>
      <w:tr w:rsidR="00CD7817" w14:paraId="0129497F" w14:textId="77777777" w:rsidTr="00090759">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915" w:type="dxa"/>
            <w:tcBorders>
              <w:top w:val="single" w:sz="8" w:space="0" w:color="DDD9C3"/>
              <w:left w:val="nil"/>
              <w:bottom w:val="single" w:sz="8" w:space="0" w:color="DDD9C3"/>
              <w:right w:val="nil"/>
            </w:tcBorders>
            <w:vAlign w:val="center"/>
            <w:hideMark/>
          </w:tcPr>
          <w:p w14:paraId="0129497B" w14:textId="77777777" w:rsidR="00CD7817" w:rsidRDefault="005C5BA2" w:rsidP="00090759">
            <w:pPr>
              <w:keepNext/>
              <w:keepLines/>
              <w:jc w:val="center"/>
              <w:rPr>
                <w:rFonts w:ascii="Calibri" w:eastAsia="Calibri" w:hAnsi="Calibri"/>
                <w:szCs w:val="20"/>
              </w:rPr>
            </w:pPr>
            <m:oMathPara>
              <m:oMath>
                <m:sSub>
                  <m:sSubPr>
                    <m:ctrlPr>
                      <w:rPr>
                        <w:rFonts w:ascii="Cambria Math" w:eastAsia="Calibri" w:hAnsi="Cambria Math"/>
                        <w:i/>
                        <w:szCs w:val="20"/>
                      </w:rPr>
                    </m:ctrlPr>
                  </m:sSubPr>
                  <m:e>
                    <m:r>
                      <w:rPr>
                        <w:rFonts w:ascii="Cambria Math" w:eastAsia="Calibri" w:hAnsi="Cambria Math"/>
                        <w:szCs w:val="20"/>
                      </w:rPr>
                      <m:t>(</m:t>
                    </m:r>
                    <m:sSub>
                      <m:sSubPr>
                        <m:ctrlPr>
                          <w:rPr>
                            <w:rFonts w:ascii="Cambria Math" w:eastAsia="Calibri" w:hAnsi="Cambria Math"/>
                            <w:i/>
                            <w:szCs w:val="20"/>
                          </w:rPr>
                        </m:ctrlPr>
                      </m:sSubPr>
                      <m:e>
                        <m:r>
                          <w:rPr>
                            <w:rFonts w:ascii="Cambria Math" w:eastAsia="Calibri" w:hAnsi="Cambria Math"/>
                            <w:szCs w:val="20"/>
                          </w:rPr>
                          <m:t>RunTime</m:t>
                        </m:r>
                      </m:e>
                      <m:sub>
                        <m:r>
                          <w:rPr>
                            <w:rFonts w:ascii="Cambria Math" w:eastAsia="Calibri" w:hAnsi="Cambria Math"/>
                            <w:szCs w:val="20"/>
                          </w:rPr>
                          <m:t>total</m:t>
                        </m:r>
                      </m:sub>
                    </m:sSub>
                    <m:r>
                      <w:rPr>
                        <w:rFonts w:ascii="Cambria Math" w:eastAsia="Calibri" w:hAnsi="Cambria Math"/>
                        <w:szCs w:val="20"/>
                      </w:rPr>
                      <m:t>)</m:t>
                    </m:r>
                  </m:e>
                  <m:sub>
                    <m:r>
                      <w:rPr>
                        <w:rFonts w:ascii="Cambria Math" w:eastAsia="Calibri" w:hAnsi="Cambria Math"/>
                        <w:szCs w:val="20"/>
                      </w:rPr>
                      <m:t>i</m:t>
                    </m:r>
                  </m:sub>
                </m:sSub>
              </m:oMath>
            </m:oMathPara>
          </w:p>
        </w:tc>
        <w:tc>
          <w:tcPr>
            <w:tcW w:w="3930" w:type="dxa"/>
            <w:tcBorders>
              <w:top w:val="single" w:sz="8" w:space="0" w:color="DDD9C3"/>
              <w:left w:val="nil"/>
              <w:bottom w:val="single" w:sz="8" w:space="0" w:color="DDD9C3"/>
              <w:right w:val="nil"/>
            </w:tcBorders>
            <w:vAlign w:val="center"/>
            <w:hideMark/>
          </w:tcPr>
          <w:p w14:paraId="0129497C" w14:textId="77777777" w:rsidR="00CD7817" w:rsidRDefault="00CD7817" w:rsidP="00090759">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Total furnace run time</w:t>
            </w:r>
            <w:r w:rsidR="00056A11">
              <w:rPr>
                <w:szCs w:val="20"/>
              </w:rPr>
              <w:t xml:space="preserve"> in hour i</w:t>
            </w:r>
          </w:p>
        </w:tc>
        <w:tc>
          <w:tcPr>
            <w:tcW w:w="1497" w:type="dxa"/>
            <w:tcBorders>
              <w:top w:val="single" w:sz="8" w:space="0" w:color="DDD9C3"/>
              <w:left w:val="nil"/>
              <w:bottom w:val="single" w:sz="8" w:space="0" w:color="DDD9C3"/>
              <w:right w:val="nil"/>
            </w:tcBorders>
            <w:vAlign w:val="center"/>
            <w:hideMark/>
          </w:tcPr>
          <w:p w14:paraId="0129497D" w14:textId="77777777" w:rsidR="00CD7817" w:rsidRDefault="00CD7817" w:rsidP="00090759">
            <w:pPr>
              <w:keepNext/>
              <w:keepLines/>
              <w:jc w:val="center"/>
              <w:cnfStyle w:val="000000010000" w:firstRow="0" w:lastRow="0" w:firstColumn="0" w:lastColumn="0" w:oddVBand="0" w:evenVBand="0" w:oddHBand="0" w:evenHBand="1" w:firstRowFirstColumn="0" w:firstRowLastColumn="0" w:lastRowFirstColumn="0" w:lastRowLastColumn="0"/>
              <w:rPr>
                <w:rFonts w:ascii="Calibri" w:eastAsia="Calibri" w:hAnsi="Calibri"/>
                <w:szCs w:val="20"/>
              </w:rPr>
            </w:pPr>
            <m:oMathPara>
              <m:oMath>
                <m:r>
                  <w:rPr>
                    <w:rFonts w:ascii="Cambria Math" w:eastAsia="Calibri" w:hAnsi="Cambria Math"/>
                    <w:szCs w:val="20"/>
                  </w:rPr>
                  <m:t>time</m:t>
                </m:r>
              </m:oMath>
            </m:oMathPara>
          </w:p>
        </w:tc>
        <w:tc>
          <w:tcPr>
            <w:tcW w:w="2162" w:type="dxa"/>
            <w:tcBorders>
              <w:top w:val="single" w:sz="8" w:space="0" w:color="DDD9C3"/>
              <w:left w:val="nil"/>
              <w:bottom w:val="single" w:sz="8" w:space="0" w:color="DDD9C3"/>
              <w:right w:val="nil"/>
            </w:tcBorders>
            <w:vAlign w:val="center"/>
            <w:hideMark/>
          </w:tcPr>
          <w:p w14:paraId="0129497E" w14:textId="77777777" w:rsidR="00CD7817" w:rsidRDefault="00CD7817" w:rsidP="00090759">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“Low” stage logger data</w:t>
            </w:r>
          </w:p>
        </w:tc>
      </w:tr>
      <w:tr w:rsidR="00CD7817" w14:paraId="01294984" w14:textId="77777777" w:rsidTr="00CD7817">
        <w:trPr>
          <w:cantSplit/>
          <w:jc w:val="center"/>
        </w:trPr>
        <w:tc>
          <w:tcPr>
            <w:cnfStyle w:val="001000000000" w:firstRow="0" w:lastRow="0" w:firstColumn="1" w:lastColumn="0" w:oddVBand="0" w:evenVBand="0" w:oddHBand="0" w:evenHBand="0" w:firstRowFirstColumn="0" w:firstRowLastColumn="0" w:lastRowFirstColumn="0" w:lastRowLastColumn="0"/>
            <w:tcW w:w="1915" w:type="dxa"/>
            <w:tcBorders>
              <w:top w:val="single" w:sz="8" w:space="0" w:color="DDD9C3"/>
              <w:left w:val="nil"/>
              <w:bottom w:val="single" w:sz="8" w:space="0" w:color="DDD9C3"/>
              <w:right w:val="nil"/>
            </w:tcBorders>
            <w:vAlign w:val="center"/>
            <w:hideMark/>
          </w:tcPr>
          <w:p w14:paraId="01294980" w14:textId="77777777" w:rsidR="00CD7817" w:rsidRDefault="005C5BA2" w:rsidP="00090759">
            <w:pPr>
              <w:keepNext/>
              <w:keepLines/>
              <w:jc w:val="center"/>
              <w:rPr>
                <w:szCs w:val="20"/>
              </w:rPr>
            </w:pPr>
            <m:oMathPara>
              <m:oMath>
                <m:sSub>
                  <m:sSubPr>
                    <m:ctrlPr>
                      <w:rPr>
                        <w:rFonts w:ascii="Cambria Math" w:eastAsia="Calibri" w:hAnsi="Cambria Math"/>
                        <w:i/>
                        <w:szCs w:val="20"/>
                      </w:rPr>
                    </m:ctrlPr>
                  </m:sSubPr>
                  <m:e>
                    <m:r>
                      <w:rPr>
                        <w:rFonts w:ascii="Cambria Math" w:eastAsia="Calibri" w:hAnsi="Cambria Math"/>
                        <w:szCs w:val="20"/>
                      </w:rPr>
                      <m:t>(</m:t>
                    </m:r>
                    <m:sSub>
                      <m:sSubPr>
                        <m:ctrlPr>
                          <w:rPr>
                            <w:rFonts w:ascii="Cambria Math" w:eastAsia="Calibri" w:hAnsi="Cambria Math"/>
                            <w:i/>
                            <w:szCs w:val="20"/>
                          </w:rPr>
                        </m:ctrlPr>
                      </m:sSubPr>
                      <m:e>
                        <m:r>
                          <w:rPr>
                            <w:rFonts w:ascii="Cambria Math" w:eastAsia="Calibri" w:hAnsi="Cambria Math"/>
                            <w:szCs w:val="20"/>
                          </w:rPr>
                          <m:t>RunTime</m:t>
                        </m:r>
                      </m:e>
                      <m:sub>
                        <m:r>
                          <w:rPr>
                            <w:rFonts w:ascii="Cambria Math" w:eastAsia="Calibri" w:hAnsi="Cambria Math"/>
                            <w:szCs w:val="20"/>
                          </w:rPr>
                          <m:t>high</m:t>
                        </m:r>
                      </m:sub>
                    </m:sSub>
                    <m:r>
                      <w:rPr>
                        <w:rFonts w:ascii="Cambria Math" w:eastAsia="Calibri" w:hAnsi="Cambria Math"/>
                        <w:szCs w:val="20"/>
                      </w:rPr>
                      <m:t>)</m:t>
                    </m:r>
                  </m:e>
                  <m:sub>
                    <m:r>
                      <w:rPr>
                        <w:rFonts w:ascii="Cambria Math" w:eastAsia="Calibri" w:hAnsi="Cambria Math"/>
                        <w:szCs w:val="20"/>
                      </w:rPr>
                      <m:t>i</m:t>
                    </m:r>
                  </m:sub>
                </m:sSub>
              </m:oMath>
            </m:oMathPara>
          </w:p>
        </w:tc>
        <w:tc>
          <w:tcPr>
            <w:tcW w:w="3930" w:type="dxa"/>
            <w:tcBorders>
              <w:top w:val="single" w:sz="8" w:space="0" w:color="DDD9C3"/>
              <w:left w:val="nil"/>
              <w:bottom w:val="single" w:sz="8" w:space="0" w:color="DDD9C3"/>
              <w:right w:val="nil"/>
            </w:tcBorders>
            <w:vAlign w:val="center"/>
            <w:hideMark/>
          </w:tcPr>
          <w:p w14:paraId="01294981" w14:textId="77777777" w:rsidR="00CD7817" w:rsidRDefault="00CD7817" w:rsidP="00CD7817">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 xml:space="preserve">High </w:t>
            </w:r>
            <w:r w:rsidR="0070087F">
              <w:rPr>
                <w:szCs w:val="20"/>
              </w:rPr>
              <w:t xml:space="preserve">stage </w:t>
            </w:r>
            <w:r>
              <w:rPr>
                <w:szCs w:val="20"/>
              </w:rPr>
              <w:t>furnace run time</w:t>
            </w:r>
            <w:r w:rsidR="00056A11">
              <w:rPr>
                <w:szCs w:val="20"/>
              </w:rPr>
              <w:t xml:space="preserve"> in hour i</w:t>
            </w:r>
          </w:p>
        </w:tc>
        <w:tc>
          <w:tcPr>
            <w:tcW w:w="1497" w:type="dxa"/>
            <w:tcBorders>
              <w:top w:val="single" w:sz="8" w:space="0" w:color="DDD9C3"/>
              <w:left w:val="nil"/>
              <w:bottom w:val="single" w:sz="8" w:space="0" w:color="DDD9C3"/>
              <w:right w:val="nil"/>
            </w:tcBorders>
            <w:vAlign w:val="center"/>
            <w:hideMark/>
          </w:tcPr>
          <w:p w14:paraId="01294982" w14:textId="77777777" w:rsidR="00CD7817" w:rsidRDefault="00CD7817" w:rsidP="00090759">
            <w:pPr>
              <w:keepNext/>
              <w:keepLines/>
              <w:jc w:val="center"/>
              <w:cnfStyle w:val="000000000000" w:firstRow="0" w:lastRow="0" w:firstColumn="0" w:lastColumn="0" w:oddVBand="0" w:evenVBand="0" w:oddHBand="0" w:evenHBand="0" w:firstRowFirstColumn="0" w:firstRowLastColumn="0" w:lastRowFirstColumn="0" w:lastRowLastColumn="0"/>
              <w:rPr>
                <w:szCs w:val="20"/>
              </w:rPr>
            </w:pPr>
            <m:oMathPara>
              <m:oMath>
                <m:r>
                  <w:rPr>
                    <w:rFonts w:ascii="Cambria Math" w:eastAsia="Calibri" w:hAnsi="Cambria Math"/>
                    <w:szCs w:val="20"/>
                  </w:rPr>
                  <m:t>time</m:t>
                </m:r>
              </m:oMath>
            </m:oMathPara>
          </w:p>
        </w:tc>
        <w:tc>
          <w:tcPr>
            <w:tcW w:w="2162" w:type="dxa"/>
            <w:tcBorders>
              <w:top w:val="single" w:sz="8" w:space="0" w:color="DDD9C3"/>
              <w:left w:val="nil"/>
              <w:bottom w:val="single" w:sz="8" w:space="0" w:color="DDD9C3"/>
              <w:right w:val="nil"/>
            </w:tcBorders>
            <w:vAlign w:val="center"/>
            <w:hideMark/>
          </w:tcPr>
          <w:p w14:paraId="01294983" w14:textId="77777777" w:rsidR="00CD7817" w:rsidRDefault="00CD7817" w:rsidP="00CD7817">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“High” stage logger data</w:t>
            </w:r>
          </w:p>
        </w:tc>
      </w:tr>
    </w:tbl>
    <w:p w14:paraId="01294985" w14:textId="77777777" w:rsidR="00937274" w:rsidRDefault="00937274" w:rsidP="006E0D96"/>
    <w:p w14:paraId="01294986" w14:textId="77777777" w:rsidR="00056A11" w:rsidRDefault="00F84430" w:rsidP="006E0D96">
      <w:r>
        <w:t>Navigant then converted the run time in each stage to actual gas consumption using the gas consumption spot measurements and Nicor Gas’ BTU Ratio</w:t>
      </w:r>
      <w:r w:rsidR="00056A11">
        <w:t>.</w:t>
      </w:r>
      <w:r w:rsidR="002A587A">
        <w:rPr>
          <w:rStyle w:val="FootnoteReference"/>
        </w:rPr>
        <w:footnoteReference w:id="19"/>
      </w:r>
      <w:r w:rsidR="00E26807">
        <w:t xml:space="preserve"> The algorithm below outlines the method for calculating the gas consumption of a dual stage furnace.</w:t>
      </w:r>
    </w:p>
    <w:p w14:paraId="01294987" w14:textId="77777777" w:rsidR="00233C9D" w:rsidRDefault="00233C9D" w:rsidP="006E0D96"/>
    <w:p w14:paraId="01294988" w14:textId="77777777" w:rsidR="00233C9D" w:rsidRPr="00E67B92" w:rsidRDefault="005C5BA2" w:rsidP="006E0D96">
      <w:pPr>
        <w:rPr>
          <w:szCs w:val="20"/>
        </w:rPr>
      </w:pPr>
      <m:oMathPara>
        <m:oMath>
          <m:sSub>
            <m:sSubPr>
              <m:ctrlPr>
                <w:rPr>
                  <w:rFonts w:ascii="Cambria Math" w:hAnsi="Cambria Math"/>
                  <w:i/>
                </w:rPr>
              </m:ctrlPr>
            </m:sSubPr>
            <m:e>
              <m:r>
                <w:rPr>
                  <w:rFonts w:ascii="Cambria Math" w:hAnsi="Cambria Math"/>
                </w:rPr>
                <m:t>Gas Consumption</m:t>
              </m:r>
            </m:e>
            <m:sub>
              <m:r>
                <w:rPr>
                  <w:rFonts w:ascii="Cambria Math" w:hAnsi="Cambria Math"/>
                </w:rPr>
                <m:t>i</m:t>
              </m:r>
            </m:sub>
          </m:sSub>
          <m:r>
            <w:rPr>
              <w:rFonts w:ascii="Cambria Math" w:hAnsi="Cambria Math"/>
            </w:rPr>
            <m:t xml:space="preserve">= </m:t>
          </m:r>
          <m:sSub>
            <m:sSubPr>
              <m:ctrlPr>
                <w:rPr>
                  <w:rFonts w:ascii="Cambria Math" w:eastAsia="Calibri" w:hAnsi="Cambria Math"/>
                  <w:i/>
                  <w:szCs w:val="20"/>
                </w:rPr>
              </m:ctrlPr>
            </m:sSubPr>
            <m:e>
              <m:r>
                <w:rPr>
                  <w:rFonts w:ascii="Cambria Math" w:eastAsia="Calibri" w:hAnsi="Cambria Math"/>
                  <w:szCs w:val="20"/>
                </w:rPr>
                <m:t>(</m:t>
              </m:r>
              <m:sSub>
                <m:sSubPr>
                  <m:ctrlPr>
                    <w:rPr>
                      <w:rFonts w:ascii="Cambria Math" w:eastAsia="Calibri" w:hAnsi="Cambria Math"/>
                      <w:i/>
                      <w:szCs w:val="20"/>
                    </w:rPr>
                  </m:ctrlPr>
                </m:sSubPr>
                <m:e>
                  <m:r>
                    <w:rPr>
                      <w:rFonts w:ascii="Cambria Math" w:eastAsia="Calibri" w:hAnsi="Cambria Math"/>
                      <w:szCs w:val="20"/>
                    </w:rPr>
                    <m:t>(RunTime</m:t>
                  </m:r>
                </m:e>
                <m:sub>
                  <m:r>
                    <w:rPr>
                      <w:rFonts w:ascii="Cambria Math" w:eastAsia="Calibri" w:hAnsi="Cambria Math"/>
                      <w:szCs w:val="20"/>
                    </w:rPr>
                    <m:t>low</m:t>
                  </m:r>
                </m:sub>
              </m:sSub>
              <m:r>
                <w:rPr>
                  <w:rFonts w:ascii="Cambria Math" w:eastAsia="Calibri" w:hAnsi="Cambria Math"/>
                  <w:szCs w:val="20"/>
                </w:rPr>
                <m:t>)</m:t>
              </m:r>
            </m:e>
            <m:sub>
              <m:r>
                <w:rPr>
                  <w:rFonts w:ascii="Cambria Math" w:eastAsia="Calibri" w:hAnsi="Cambria Math"/>
                  <w:szCs w:val="20"/>
                </w:rPr>
                <m:t>i</m:t>
              </m:r>
            </m:sub>
          </m:sSub>
          <m:r>
            <w:rPr>
              <w:rFonts w:ascii="Cambria Math" w:eastAsia="Calibri" w:hAnsi="Cambria Math"/>
              <w:szCs w:val="20"/>
            </w:rPr>
            <m:t>*</m:t>
          </m:r>
          <m:sSub>
            <m:sSubPr>
              <m:ctrlPr>
                <w:rPr>
                  <w:rFonts w:ascii="Cambria Math" w:eastAsia="Calibri" w:hAnsi="Cambria Math"/>
                  <w:i/>
                  <w:szCs w:val="20"/>
                </w:rPr>
              </m:ctrlPr>
            </m:sSubPr>
            <m:e>
              <m:r>
                <w:rPr>
                  <w:rFonts w:ascii="Cambria Math" w:eastAsia="Calibri" w:hAnsi="Cambria Math"/>
                  <w:szCs w:val="20"/>
                </w:rPr>
                <m:t>InputCap</m:t>
              </m:r>
            </m:e>
            <m:sub>
              <m:r>
                <w:rPr>
                  <w:rFonts w:ascii="Cambria Math" w:eastAsia="Calibri" w:hAnsi="Cambria Math"/>
                  <w:szCs w:val="20"/>
                </w:rPr>
                <m:t>low</m:t>
              </m:r>
            </m:sub>
          </m:sSub>
          <m:r>
            <w:rPr>
              <w:rFonts w:ascii="Cambria Math" w:eastAsia="Calibri" w:hAnsi="Cambria Math"/>
              <w:szCs w:val="20"/>
            </w:rPr>
            <m:t>+</m:t>
          </m:r>
          <m:sSub>
            <m:sSubPr>
              <m:ctrlPr>
                <w:rPr>
                  <w:rFonts w:ascii="Cambria Math" w:eastAsia="Calibri" w:hAnsi="Cambria Math"/>
                  <w:i/>
                  <w:szCs w:val="20"/>
                </w:rPr>
              </m:ctrlPr>
            </m:sSubPr>
            <m:e>
              <m:sSub>
                <m:sSubPr>
                  <m:ctrlPr>
                    <w:rPr>
                      <w:rFonts w:ascii="Cambria Math" w:eastAsia="Calibri" w:hAnsi="Cambria Math"/>
                      <w:i/>
                      <w:szCs w:val="20"/>
                    </w:rPr>
                  </m:ctrlPr>
                </m:sSubPr>
                <m:e>
                  <m:r>
                    <w:rPr>
                      <w:rFonts w:ascii="Cambria Math" w:eastAsia="Calibri" w:hAnsi="Cambria Math"/>
                      <w:szCs w:val="20"/>
                    </w:rPr>
                    <m:t>(RunTime</m:t>
                  </m:r>
                </m:e>
                <m:sub>
                  <m:r>
                    <w:rPr>
                      <w:rFonts w:ascii="Cambria Math" w:eastAsia="Calibri" w:hAnsi="Cambria Math"/>
                      <w:szCs w:val="20"/>
                    </w:rPr>
                    <m:t>high</m:t>
                  </m:r>
                </m:sub>
              </m:sSub>
              <m:r>
                <w:rPr>
                  <w:rFonts w:ascii="Cambria Math" w:eastAsia="Calibri" w:hAnsi="Cambria Math"/>
                  <w:szCs w:val="20"/>
                </w:rPr>
                <m:t>)</m:t>
              </m:r>
            </m:e>
            <m:sub>
              <m:r>
                <w:rPr>
                  <w:rFonts w:ascii="Cambria Math" w:eastAsia="Calibri" w:hAnsi="Cambria Math"/>
                  <w:szCs w:val="20"/>
                </w:rPr>
                <m:t>i</m:t>
              </m:r>
            </m:sub>
          </m:sSub>
          <m:r>
            <w:rPr>
              <w:rFonts w:ascii="Cambria Math" w:eastAsia="Calibri" w:hAnsi="Cambria Math"/>
              <w:szCs w:val="20"/>
            </w:rPr>
            <m:t>*</m:t>
          </m:r>
          <m:sSub>
            <m:sSubPr>
              <m:ctrlPr>
                <w:rPr>
                  <w:rFonts w:ascii="Cambria Math" w:eastAsia="Calibri" w:hAnsi="Cambria Math"/>
                  <w:i/>
                  <w:szCs w:val="20"/>
                </w:rPr>
              </m:ctrlPr>
            </m:sSubPr>
            <m:e>
              <m:r>
                <w:rPr>
                  <w:rFonts w:ascii="Cambria Math" w:eastAsia="Calibri" w:hAnsi="Cambria Math"/>
                  <w:szCs w:val="20"/>
                </w:rPr>
                <m:t>InputCap</m:t>
              </m:r>
            </m:e>
            <m:sub>
              <m:r>
                <w:rPr>
                  <w:rFonts w:ascii="Cambria Math" w:eastAsia="Calibri" w:hAnsi="Cambria Math"/>
                  <w:szCs w:val="20"/>
                </w:rPr>
                <m:t>high</m:t>
              </m:r>
            </m:sub>
          </m:sSub>
          <m:r>
            <w:rPr>
              <w:rFonts w:ascii="Cambria Math" w:eastAsia="Calibri" w:hAnsi="Cambria Math"/>
              <w:szCs w:val="20"/>
            </w:rPr>
            <m:t>)*BTU Ratio</m:t>
          </m:r>
        </m:oMath>
      </m:oMathPara>
    </w:p>
    <w:p w14:paraId="01294989" w14:textId="77777777" w:rsidR="00E67B92" w:rsidRDefault="00E67B92" w:rsidP="006E0D96">
      <w:pPr>
        <w:rPr>
          <w:szCs w:val="20"/>
        </w:rPr>
      </w:pPr>
    </w:p>
    <w:tbl>
      <w:tblPr>
        <w:tblStyle w:val="EnergyTable"/>
        <w:tblW w:w="0" w:type="auto"/>
        <w:jc w:val="center"/>
        <w:tblLook w:val="04A0" w:firstRow="1" w:lastRow="0" w:firstColumn="1" w:lastColumn="0" w:noHBand="0" w:noVBand="1"/>
      </w:tblPr>
      <w:tblGrid>
        <w:gridCol w:w="1915"/>
        <w:gridCol w:w="3930"/>
        <w:gridCol w:w="1497"/>
        <w:gridCol w:w="2162"/>
      </w:tblGrid>
      <w:tr w:rsidR="00E67B92" w14:paraId="0129498E" w14:textId="77777777" w:rsidTr="00090759">
        <w:trPr>
          <w:cnfStyle w:val="100000000000" w:firstRow="1" w:lastRow="0" w:firstColumn="0" w:lastColumn="0" w:oddVBand="0" w:evenVBand="0" w:oddHBand="0" w:evenHBand="0"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915" w:type="dxa"/>
            <w:tcBorders>
              <w:top w:val="single" w:sz="8" w:space="0" w:color="DDD9C3"/>
              <w:left w:val="nil"/>
              <w:right w:val="nil"/>
            </w:tcBorders>
            <w:vAlign w:val="center"/>
            <w:hideMark/>
          </w:tcPr>
          <w:p w14:paraId="0129498A" w14:textId="77777777" w:rsidR="00E67B92" w:rsidRDefault="00E67B92" w:rsidP="00090759">
            <w:pPr>
              <w:keepNext/>
              <w:keepLines/>
              <w:jc w:val="center"/>
              <w:rPr>
                <w:szCs w:val="20"/>
              </w:rPr>
            </w:pPr>
            <w:r>
              <w:rPr>
                <w:szCs w:val="20"/>
              </w:rPr>
              <w:t>Parameter</w:t>
            </w:r>
          </w:p>
        </w:tc>
        <w:tc>
          <w:tcPr>
            <w:tcW w:w="3930" w:type="dxa"/>
            <w:tcBorders>
              <w:top w:val="single" w:sz="8" w:space="0" w:color="DDD9C3"/>
              <w:left w:val="nil"/>
              <w:right w:val="nil"/>
            </w:tcBorders>
            <w:vAlign w:val="center"/>
            <w:hideMark/>
          </w:tcPr>
          <w:p w14:paraId="0129498B" w14:textId="77777777" w:rsidR="00E67B92" w:rsidRDefault="00E67B92" w:rsidP="00090759">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Description</w:t>
            </w:r>
          </w:p>
        </w:tc>
        <w:tc>
          <w:tcPr>
            <w:tcW w:w="1497" w:type="dxa"/>
            <w:tcBorders>
              <w:top w:val="single" w:sz="8" w:space="0" w:color="DDD9C3"/>
              <w:left w:val="nil"/>
              <w:right w:val="nil"/>
            </w:tcBorders>
            <w:vAlign w:val="center"/>
            <w:hideMark/>
          </w:tcPr>
          <w:p w14:paraId="0129498C" w14:textId="77777777" w:rsidR="00E67B92" w:rsidRDefault="00E67B92" w:rsidP="00090759">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Units</w:t>
            </w:r>
          </w:p>
        </w:tc>
        <w:tc>
          <w:tcPr>
            <w:tcW w:w="2162" w:type="dxa"/>
            <w:tcBorders>
              <w:top w:val="single" w:sz="8" w:space="0" w:color="DDD9C3"/>
              <w:left w:val="nil"/>
              <w:right w:val="nil"/>
            </w:tcBorders>
            <w:vAlign w:val="center"/>
            <w:hideMark/>
          </w:tcPr>
          <w:p w14:paraId="0129498D" w14:textId="77777777" w:rsidR="00E67B92" w:rsidRDefault="00E67B92" w:rsidP="00090759">
            <w:pPr>
              <w:keepNext/>
              <w:keepLines/>
              <w:jc w:val="center"/>
              <w:cnfStyle w:val="100000000000" w:firstRow="1" w:lastRow="0" w:firstColumn="0" w:lastColumn="0" w:oddVBand="0" w:evenVBand="0" w:oddHBand="0" w:evenHBand="0" w:firstRowFirstColumn="0" w:firstRowLastColumn="0" w:lastRowFirstColumn="0" w:lastRowLastColumn="0"/>
              <w:rPr>
                <w:szCs w:val="20"/>
              </w:rPr>
            </w:pPr>
            <w:r>
              <w:rPr>
                <w:szCs w:val="20"/>
              </w:rPr>
              <w:t>Source</w:t>
            </w:r>
          </w:p>
        </w:tc>
      </w:tr>
      <w:tr w:rsidR="00E67B92" w14:paraId="01294993" w14:textId="77777777" w:rsidTr="00090759">
        <w:trPr>
          <w:cantSplit/>
          <w:trHeight w:val="412"/>
          <w:jc w:val="center"/>
        </w:trPr>
        <w:tc>
          <w:tcPr>
            <w:cnfStyle w:val="001000000000" w:firstRow="0" w:lastRow="0" w:firstColumn="1" w:lastColumn="0" w:oddVBand="0" w:evenVBand="0" w:oddHBand="0" w:evenHBand="0" w:firstRowFirstColumn="0" w:firstRowLastColumn="0" w:lastRowFirstColumn="0" w:lastRowLastColumn="0"/>
            <w:tcW w:w="1915" w:type="dxa"/>
            <w:tcBorders>
              <w:top w:val="single" w:sz="8" w:space="0" w:color="DDD9C3"/>
              <w:left w:val="nil"/>
              <w:bottom w:val="single" w:sz="8" w:space="0" w:color="DDD9C3"/>
              <w:right w:val="nil"/>
            </w:tcBorders>
            <w:vAlign w:val="center"/>
          </w:tcPr>
          <w:p w14:paraId="0129498F" w14:textId="77777777" w:rsidR="00E67B92" w:rsidRPr="00F4581E" w:rsidRDefault="005C5BA2" w:rsidP="00090759">
            <w:pPr>
              <w:keepNext/>
              <w:keepLines/>
              <w:jc w:val="center"/>
              <w:rPr>
                <w:szCs w:val="20"/>
              </w:rPr>
            </w:pPr>
            <m:oMathPara>
              <m:oMath>
                <m:sSub>
                  <m:sSubPr>
                    <m:ctrlPr>
                      <w:rPr>
                        <w:rFonts w:ascii="Cambria Math" w:hAnsi="Cambria Math"/>
                        <w:i/>
                      </w:rPr>
                    </m:ctrlPr>
                  </m:sSubPr>
                  <m:e>
                    <m:r>
                      <w:rPr>
                        <w:rFonts w:ascii="Cambria Math" w:hAnsi="Cambria Math"/>
                      </w:rPr>
                      <m:t>Gas Consumption</m:t>
                    </m:r>
                  </m:e>
                  <m:sub>
                    <m:r>
                      <w:rPr>
                        <w:rFonts w:ascii="Cambria Math" w:hAnsi="Cambria Math"/>
                      </w:rPr>
                      <m:t>i</m:t>
                    </m:r>
                  </m:sub>
                </m:sSub>
              </m:oMath>
            </m:oMathPara>
          </w:p>
        </w:tc>
        <w:tc>
          <w:tcPr>
            <w:tcW w:w="3930" w:type="dxa"/>
            <w:tcBorders>
              <w:top w:val="single" w:sz="8" w:space="0" w:color="DDD9C3"/>
              <w:left w:val="nil"/>
              <w:bottom w:val="single" w:sz="8" w:space="0" w:color="DDD9C3"/>
              <w:right w:val="nil"/>
            </w:tcBorders>
            <w:vAlign w:val="center"/>
          </w:tcPr>
          <w:p w14:paraId="01294990" w14:textId="77777777" w:rsidR="00E67B92" w:rsidRDefault="00E67B92" w:rsidP="00090759">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Furnace gas consumption in hour i</w:t>
            </w:r>
          </w:p>
        </w:tc>
        <w:tc>
          <w:tcPr>
            <w:tcW w:w="1497" w:type="dxa"/>
            <w:tcBorders>
              <w:top w:val="single" w:sz="8" w:space="0" w:color="DDD9C3"/>
              <w:left w:val="nil"/>
              <w:bottom w:val="single" w:sz="8" w:space="0" w:color="DDD9C3"/>
              <w:right w:val="nil"/>
            </w:tcBorders>
            <w:vAlign w:val="center"/>
          </w:tcPr>
          <w:p w14:paraId="01294991" w14:textId="77777777" w:rsidR="00E67B92" w:rsidRDefault="005C5BA2" w:rsidP="00090759">
            <w:pPr>
              <w:keepNext/>
              <w:keepLines/>
              <w:jc w:val="center"/>
              <w:cnfStyle w:val="000000000000" w:firstRow="0" w:lastRow="0" w:firstColumn="0" w:lastColumn="0" w:oddVBand="0" w:evenVBand="0" w:oddHBand="0" w:evenHBand="0" w:firstRowFirstColumn="0" w:firstRowLastColumn="0" w:lastRowFirstColumn="0" w:lastRowLastColumn="0"/>
              <w:rPr>
                <w:szCs w:val="20"/>
              </w:rPr>
            </w:pPr>
            <m:oMathPara>
              <m:oMath>
                <m:sSup>
                  <m:sSupPr>
                    <m:ctrlPr>
                      <w:rPr>
                        <w:rFonts w:ascii="Cambria Math" w:eastAsia="Calibri" w:hAnsi="Cambria Math"/>
                        <w:i/>
                        <w:szCs w:val="20"/>
                      </w:rPr>
                    </m:ctrlPr>
                  </m:sSupPr>
                  <m:e>
                    <m:r>
                      <w:rPr>
                        <w:rFonts w:ascii="Cambria Math" w:eastAsia="Calibri" w:hAnsi="Cambria Math"/>
                        <w:szCs w:val="20"/>
                      </w:rPr>
                      <m:t>ft</m:t>
                    </m:r>
                  </m:e>
                  <m:sup>
                    <m:r>
                      <w:rPr>
                        <w:rFonts w:ascii="Cambria Math" w:eastAsia="Calibri" w:hAnsi="Cambria Math"/>
                        <w:szCs w:val="20"/>
                      </w:rPr>
                      <m:t>3</m:t>
                    </m:r>
                  </m:sup>
                </m:sSup>
                <m:r>
                  <w:rPr>
                    <w:rFonts w:ascii="Cambria Math" w:eastAsia="Calibri" w:hAnsi="Cambria Math"/>
                    <w:szCs w:val="20"/>
                  </w:rPr>
                  <m:t xml:space="preserve"> gas</m:t>
                </m:r>
              </m:oMath>
            </m:oMathPara>
          </w:p>
        </w:tc>
        <w:tc>
          <w:tcPr>
            <w:tcW w:w="2162" w:type="dxa"/>
            <w:tcBorders>
              <w:top w:val="single" w:sz="8" w:space="0" w:color="DDD9C3"/>
              <w:left w:val="nil"/>
              <w:bottom w:val="single" w:sz="8" w:space="0" w:color="DDD9C3"/>
              <w:right w:val="nil"/>
            </w:tcBorders>
            <w:vAlign w:val="center"/>
          </w:tcPr>
          <w:p w14:paraId="01294992" w14:textId="77777777" w:rsidR="00E67B92" w:rsidRDefault="00E67B92" w:rsidP="00090759">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Calculated</w:t>
            </w:r>
          </w:p>
        </w:tc>
      </w:tr>
      <w:tr w:rsidR="00E67B92" w14:paraId="01294998" w14:textId="77777777" w:rsidTr="00090759">
        <w:trPr>
          <w:cnfStyle w:val="000000010000" w:firstRow="0" w:lastRow="0" w:firstColumn="0" w:lastColumn="0" w:oddVBand="0" w:evenVBand="0" w:oddHBand="0" w:evenHBand="1" w:firstRowFirstColumn="0" w:firstRowLastColumn="0" w:lastRowFirstColumn="0" w:lastRowLastColumn="0"/>
          <w:cantSplit/>
          <w:trHeight w:val="412"/>
          <w:jc w:val="center"/>
        </w:trPr>
        <w:tc>
          <w:tcPr>
            <w:cnfStyle w:val="001000000000" w:firstRow="0" w:lastRow="0" w:firstColumn="1" w:lastColumn="0" w:oddVBand="0" w:evenVBand="0" w:oddHBand="0" w:evenHBand="0" w:firstRowFirstColumn="0" w:firstRowLastColumn="0" w:lastRowFirstColumn="0" w:lastRowLastColumn="0"/>
            <w:tcW w:w="1915" w:type="dxa"/>
            <w:tcBorders>
              <w:top w:val="single" w:sz="8" w:space="0" w:color="DDD9C3"/>
              <w:left w:val="nil"/>
              <w:bottom w:val="single" w:sz="8" w:space="0" w:color="DDD9C3"/>
              <w:right w:val="nil"/>
            </w:tcBorders>
            <w:vAlign w:val="center"/>
            <w:hideMark/>
          </w:tcPr>
          <w:p w14:paraId="01294994" w14:textId="77777777" w:rsidR="00E67B92" w:rsidRDefault="005C5BA2" w:rsidP="00090759">
            <w:pPr>
              <w:keepNext/>
              <w:keepLines/>
              <w:jc w:val="center"/>
              <w:rPr>
                <w:rFonts w:ascii="Calibri" w:eastAsia="Calibri" w:hAnsi="Calibri"/>
                <w:szCs w:val="20"/>
              </w:rPr>
            </w:pPr>
            <m:oMathPara>
              <m:oMath>
                <m:sSub>
                  <m:sSubPr>
                    <m:ctrlPr>
                      <w:rPr>
                        <w:rFonts w:ascii="Cambria Math" w:eastAsia="Calibri" w:hAnsi="Cambria Math"/>
                        <w:i/>
                        <w:szCs w:val="20"/>
                      </w:rPr>
                    </m:ctrlPr>
                  </m:sSubPr>
                  <m:e>
                    <m:sSub>
                      <m:sSubPr>
                        <m:ctrlPr>
                          <w:rPr>
                            <w:rFonts w:ascii="Cambria Math" w:eastAsia="Calibri" w:hAnsi="Cambria Math"/>
                            <w:i/>
                            <w:szCs w:val="20"/>
                          </w:rPr>
                        </m:ctrlPr>
                      </m:sSubPr>
                      <m:e>
                        <m:r>
                          <w:rPr>
                            <w:rFonts w:ascii="Cambria Math" w:eastAsia="Calibri" w:hAnsi="Cambria Math"/>
                            <w:szCs w:val="20"/>
                          </w:rPr>
                          <m:t>(RunTime</m:t>
                        </m:r>
                      </m:e>
                      <m:sub>
                        <m:r>
                          <w:rPr>
                            <w:rFonts w:ascii="Cambria Math" w:eastAsia="Calibri" w:hAnsi="Cambria Math"/>
                            <w:szCs w:val="20"/>
                          </w:rPr>
                          <m:t>low</m:t>
                        </m:r>
                      </m:sub>
                    </m:sSub>
                    <m:r>
                      <w:rPr>
                        <w:rFonts w:ascii="Cambria Math" w:eastAsia="Calibri" w:hAnsi="Cambria Math"/>
                        <w:szCs w:val="20"/>
                      </w:rPr>
                      <m:t>)</m:t>
                    </m:r>
                  </m:e>
                  <m:sub>
                    <m:r>
                      <w:rPr>
                        <w:rFonts w:ascii="Cambria Math" w:eastAsia="Calibri" w:hAnsi="Cambria Math"/>
                        <w:szCs w:val="20"/>
                      </w:rPr>
                      <m:t>i</m:t>
                    </m:r>
                  </m:sub>
                </m:sSub>
              </m:oMath>
            </m:oMathPara>
          </w:p>
        </w:tc>
        <w:tc>
          <w:tcPr>
            <w:tcW w:w="3930" w:type="dxa"/>
            <w:tcBorders>
              <w:top w:val="single" w:sz="8" w:space="0" w:color="DDD9C3"/>
              <w:left w:val="nil"/>
              <w:bottom w:val="single" w:sz="8" w:space="0" w:color="DDD9C3"/>
              <w:right w:val="nil"/>
            </w:tcBorders>
            <w:vAlign w:val="center"/>
            <w:hideMark/>
          </w:tcPr>
          <w:p w14:paraId="01294995" w14:textId="77777777" w:rsidR="00E67B92" w:rsidRDefault="00E67B92" w:rsidP="00090759">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Low stage furnace run time in hour i</w:t>
            </w:r>
          </w:p>
        </w:tc>
        <w:tc>
          <w:tcPr>
            <w:tcW w:w="1497" w:type="dxa"/>
            <w:tcBorders>
              <w:top w:val="single" w:sz="8" w:space="0" w:color="DDD9C3"/>
              <w:left w:val="nil"/>
              <w:bottom w:val="single" w:sz="8" w:space="0" w:color="DDD9C3"/>
              <w:right w:val="nil"/>
            </w:tcBorders>
            <w:vAlign w:val="center"/>
            <w:hideMark/>
          </w:tcPr>
          <w:p w14:paraId="01294996" w14:textId="77777777" w:rsidR="00E67B92" w:rsidRDefault="00E67B92" w:rsidP="00090759">
            <w:pPr>
              <w:keepNext/>
              <w:keepLines/>
              <w:jc w:val="center"/>
              <w:cnfStyle w:val="000000010000" w:firstRow="0" w:lastRow="0" w:firstColumn="0" w:lastColumn="0" w:oddVBand="0" w:evenVBand="0" w:oddHBand="0" w:evenHBand="1" w:firstRowFirstColumn="0" w:firstRowLastColumn="0" w:lastRowFirstColumn="0" w:lastRowLastColumn="0"/>
              <w:rPr>
                <w:rFonts w:ascii="Calibri" w:eastAsia="Calibri" w:hAnsi="Calibri"/>
                <w:szCs w:val="20"/>
              </w:rPr>
            </w:pPr>
            <m:oMathPara>
              <m:oMath>
                <m:r>
                  <w:rPr>
                    <w:rFonts w:ascii="Cambria Math" w:eastAsia="Calibri" w:hAnsi="Cambria Math"/>
                    <w:szCs w:val="20"/>
                  </w:rPr>
                  <m:t>time</m:t>
                </m:r>
              </m:oMath>
            </m:oMathPara>
          </w:p>
        </w:tc>
        <w:tc>
          <w:tcPr>
            <w:tcW w:w="2162" w:type="dxa"/>
            <w:tcBorders>
              <w:top w:val="single" w:sz="8" w:space="0" w:color="DDD9C3"/>
              <w:left w:val="nil"/>
              <w:bottom w:val="single" w:sz="8" w:space="0" w:color="DDD9C3"/>
              <w:right w:val="nil"/>
            </w:tcBorders>
            <w:vAlign w:val="center"/>
            <w:hideMark/>
          </w:tcPr>
          <w:p w14:paraId="01294997" w14:textId="77777777" w:rsidR="00E67B92" w:rsidRDefault="00E67B92" w:rsidP="00090759">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Calculated in algorithm above</w:t>
            </w:r>
          </w:p>
        </w:tc>
      </w:tr>
      <w:tr w:rsidR="00E67B92" w14:paraId="0129499D" w14:textId="77777777" w:rsidTr="00090759">
        <w:trPr>
          <w:cantSplit/>
          <w:jc w:val="center"/>
        </w:trPr>
        <w:tc>
          <w:tcPr>
            <w:cnfStyle w:val="001000000000" w:firstRow="0" w:lastRow="0" w:firstColumn="1" w:lastColumn="0" w:oddVBand="0" w:evenVBand="0" w:oddHBand="0" w:evenHBand="0" w:firstRowFirstColumn="0" w:firstRowLastColumn="0" w:lastRowFirstColumn="0" w:lastRowLastColumn="0"/>
            <w:tcW w:w="1915" w:type="dxa"/>
            <w:tcBorders>
              <w:top w:val="single" w:sz="8" w:space="0" w:color="DDD9C3"/>
              <w:left w:val="nil"/>
              <w:bottom w:val="single" w:sz="8" w:space="0" w:color="DDD9C3"/>
              <w:right w:val="nil"/>
            </w:tcBorders>
            <w:vAlign w:val="center"/>
            <w:hideMark/>
          </w:tcPr>
          <w:p w14:paraId="01294999" w14:textId="77777777" w:rsidR="00E67B92" w:rsidRDefault="005C5BA2" w:rsidP="00090759">
            <w:pPr>
              <w:keepNext/>
              <w:keepLines/>
              <w:jc w:val="center"/>
              <w:rPr>
                <w:szCs w:val="20"/>
              </w:rPr>
            </w:pPr>
            <m:oMathPara>
              <m:oMath>
                <m:sSub>
                  <m:sSubPr>
                    <m:ctrlPr>
                      <w:rPr>
                        <w:rFonts w:ascii="Cambria Math" w:eastAsia="Calibri" w:hAnsi="Cambria Math"/>
                        <w:i/>
                        <w:szCs w:val="20"/>
                      </w:rPr>
                    </m:ctrlPr>
                  </m:sSubPr>
                  <m:e>
                    <m:r>
                      <w:rPr>
                        <w:rFonts w:ascii="Cambria Math" w:eastAsia="Calibri" w:hAnsi="Cambria Math"/>
                        <w:szCs w:val="20"/>
                      </w:rPr>
                      <m:t>(</m:t>
                    </m:r>
                    <m:sSub>
                      <m:sSubPr>
                        <m:ctrlPr>
                          <w:rPr>
                            <w:rFonts w:ascii="Cambria Math" w:eastAsia="Calibri" w:hAnsi="Cambria Math"/>
                            <w:i/>
                            <w:szCs w:val="20"/>
                          </w:rPr>
                        </m:ctrlPr>
                      </m:sSubPr>
                      <m:e>
                        <m:r>
                          <w:rPr>
                            <w:rFonts w:ascii="Cambria Math" w:eastAsia="Calibri" w:hAnsi="Cambria Math"/>
                            <w:szCs w:val="20"/>
                          </w:rPr>
                          <m:t>RunTime</m:t>
                        </m:r>
                      </m:e>
                      <m:sub>
                        <m:r>
                          <w:rPr>
                            <w:rFonts w:ascii="Cambria Math" w:eastAsia="Calibri" w:hAnsi="Cambria Math"/>
                            <w:szCs w:val="20"/>
                          </w:rPr>
                          <m:t>high</m:t>
                        </m:r>
                      </m:sub>
                    </m:sSub>
                    <m:r>
                      <w:rPr>
                        <w:rFonts w:ascii="Cambria Math" w:eastAsia="Calibri" w:hAnsi="Cambria Math"/>
                        <w:szCs w:val="20"/>
                      </w:rPr>
                      <m:t>)</m:t>
                    </m:r>
                  </m:e>
                  <m:sub>
                    <m:r>
                      <w:rPr>
                        <w:rFonts w:ascii="Cambria Math" w:eastAsia="Calibri" w:hAnsi="Cambria Math"/>
                        <w:szCs w:val="20"/>
                      </w:rPr>
                      <m:t>i</m:t>
                    </m:r>
                  </m:sub>
                </m:sSub>
              </m:oMath>
            </m:oMathPara>
          </w:p>
        </w:tc>
        <w:tc>
          <w:tcPr>
            <w:tcW w:w="3930" w:type="dxa"/>
            <w:tcBorders>
              <w:top w:val="single" w:sz="8" w:space="0" w:color="DDD9C3"/>
              <w:left w:val="nil"/>
              <w:bottom w:val="single" w:sz="8" w:space="0" w:color="DDD9C3"/>
              <w:right w:val="nil"/>
            </w:tcBorders>
            <w:vAlign w:val="center"/>
            <w:hideMark/>
          </w:tcPr>
          <w:p w14:paraId="0129499A" w14:textId="77777777" w:rsidR="00E67B92" w:rsidRDefault="00E67B92" w:rsidP="00090759">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 xml:space="preserve">High </w:t>
            </w:r>
            <w:r w:rsidR="0070087F">
              <w:rPr>
                <w:szCs w:val="20"/>
              </w:rPr>
              <w:t xml:space="preserve">stage </w:t>
            </w:r>
            <w:r>
              <w:rPr>
                <w:szCs w:val="20"/>
              </w:rPr>
              <w:t>furnace run time in hour i</w:t>
            </w:r>
          </w:p>
        </w:tc>
        <w:tc>
          <w:tcPr>
            <w:tcW w:w="1497" w:type="dxa"/>
            <w:tcBorders>
              <w:top w:val="single" w:sz="8" w:space="0" w:color="DDD9C3"/>
              <w:left w:val="nil"/>
              <w:bottom w:val="single" w:sz="8" w:space="0" w:color="DDD9C3"/>
              <w:right w:val="nil"/>
            </w:tcBorders>
            <w:vAlign w:val="center"/>
            <w:hideMark/>
          </w:tcPr>
          <w:p w14:paraId="0129499B" w14:textId="77777777" w:rsidR="00E67B92" w:rsidRDefault="00E67B92" w:rsidP="00090759">
            <w:pPr>
              <w:keepNext/>
              <w:keepLines/>
              <w:jc w:val="center"/>
              <w:cnfStyle w:val="000000000000" w:firstRow="0" w:lastRow="0" w:firstColumn="0" w:lastColumn="0" w:oddVBand="0" w:evenVBand="0" w:oddHBand="0" w:evenHBand="0" w:firstRowFirstColumn="0" w:firstRowLastColumn="0" w:lastRowFirstColumn="0" w:lastRowLastColumn="0"/>
              <w:rPr>
                <w:szCs w:val="20"/>
              </w:rPr>
            </w:pPr>
            <m:oMathPara>
              <m:oMath>
                <m:r>
                  <w:rPr>
                    <w:rFonts w:ascii="Cambria Math" w:eastAsia="Calibri" w:hAnsi="Cambria Math"/>
                    <w:szCs w:val="20"/>
                  </w:rPr>
                  <m:t>time</m:t>
                </m:r>
              </m:oMath>
            </m:oMathPara>
          </w:p>
        </w:tc>
        <w:tc>
          <w:tcPr>
            <w:tcW w:w="2162" w:type="dxa"/>
            <w:tcBorders>
              <w:top w:val="single" w:sz="8" w:space="0" w:color="DDD9C3"/>
              <w:left w:val="nil"/>
              <w:bottom w:val="single" w:sz="8" w:space="0" w:color="DDD9C3"/>
              <w:right w:val="nil"/>
            </w:tcBorders>
            <w:vAlign w:val="center"/>
            <w:hideMark/>
          </w:tcPr>
          <w:p w14:paraId="0129499C" w14:textId="77777777" w:rsidR="00E67B92" w:rsidRDefault="00E67B92" w:rsidP="00090759">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“High” stage logger data</w:t>
            </w:r>
          </w:p>
        </w:tc>
      </w:tr>
      <w:tr w:rsidR="00E67B92" w14:paraId="012949A2" w14:textId="77777777" w:rsidTr="00EF7A3A">
        <w:trPr>
          <w:cnfStyle w:val="000000010000" w:firstRow="0" w:lastRow="0" w:firstColumn="0" w:lastColumn="0" w:oddVBand="0" w:evenVBand="0" w:oddHBand="0" w:evenHBand="1" w:firstRowFirstColumn="0" w:firstRowLastColumn="0" w:lastRowFirstColumn="0" w:lastRowLastColumn="0"/>
          <w:cantSplit/>
          <w:trHeight w:val="610"/>
          <w:jc w:val="center"/>
        </w:trPr>
        <w:tc>
          <w:tcPr>
            <w:cnfStyle w:val="001000000000" w:firstRow="0" w:lastRow="0" w:firstColumn="1" w:lastColumn="0" w:oddVBand="0" w:evenVBand="0" w:oddHBand="0" w:evenHBand="0" w:firstRowFirstColumn="0" w:firstRowLastColumn="0" w:lastRowFirstColumn="0" w:lastRowLastColumn="0"/>
            <w:tcW w:w="1915" w:type="dxa"/>
            <w:tcBorders>
              <w:top w:val="single" w:sz="8" w:space="0" w:color="DDD9C3"/>
              <w:left w:val="nil"/>
              <w:bottom w:val="single" w:sz="8" w:space="0" w:color="DDD9C3"/>
              <w:right w:val="nil"/>
            </w:tcBorders>
            <w:vAlign w:val="center"/>
          </w:tcPr>
          <w:p w14:paraId="0129499E" w14:textId="77777777" w:rsidR="00E67B92" w:rsidRPr="001C0A35" w:rsidRDefault="005C5BA2" w:rsidP="00090759">
            <w:pPr>
              <w:keepNext/>
              <w:keepLines/>
              <w:jc w:val="center"/>
              <w:rPr>
                <w:szCs w:val="20"/>
              </w:rPr>
            </w:pPr>
            <m:oMathPara>
              <m:oMath>
                <m:sSub>
                  <m:sSubPr>
                    <m:ctrlPr>
                      <w:rPr>
                        <w:rFonts w:ascii="Cambria Math" w:eastAsia="Calibri" w:hAnsi="Cambria Math"/>
                        <w:i/>
                        <w:szCs w:val="20"/>
                      </w:rPr>
                    </m:ctrlPr>
                  </m:sSubPr>
                  <m:e>
                    <m:r>
                      <w:rPr>
                        <w:rFonts w:ascii="Cambria Math" w:eastAsia="Calibri" w:hAnsi="Cambria Math"/>
                        <w:szCs w:val="20"/>
                      </w:rPr>
                      <m:t>InputCap</m:t>
                    </m:r>
                  </m:e>
                  <m:sub>
                    <m:r>
                      <w:rPr>
                        <w:rFonts w:ascii="Cambria Math" w:eastAsia="Calibri" w:hAnsi="Cambria Math"/>
                        <w:szCs w:val="20"/>
                      </w:rPr>
                      <m:t>low</m:t>
                    </m:r>
                  </m:sub>
                </m:sSub>
              </m:oMath>
            </m:oMathPara>
          </w:p>
        </w:tc>
        <w:tc>
          <w:tcPr>
            <w:tcW w:w="3930" w:type="dxa"/>
            <w:tcBorders>
              <w:top w:val="single" w:sz="8" w:space="0" w:color="DDD9C3"/>
              <w:left w:val="nil"/>
              <w:bottom w:val="single" w:sz="8" w:space="0" w:color="DDD9C3"/>
              <w:right w:val="nil"/>
            </w:tcBorders>
            <w:vAlign w:val="center"/>
          </w:tcPr>
          <w:p w14:paraId="0129499F" w14:textId="77777777" w:rsidR="00E67B92" w:rsidRDefault="0070087F" w:rsidP="0070087F">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 xml:space="preserve">Gas input capacity of the low stage </w:t>
            </w:r>
          </w:p>
        </w:tc>
        <w:tc>
          <w:tcPr>
            <w:tcW w:w="1497" w:type="dxa"/>
            <w:tcBorders>
              <w:top w:val="single" w:sz="8" w:space="0" w:color="DDD9C3"/>
              <w:left w:val="nil"/>
              <w:bottom w:val="single" w:sz="8" w:space="0" w:color="DDD9C3"/>
              <w:right w:val="nil"/>
            </w:tcBorders>
            <w:vAlign w:val="center"/>
          </w:tcPr>
          <w:p w14:paraId="012949A0" w14:textId="77777777" w:rsidR="00E67B92" w:rsidRDefault="005C5BA2" w:rsidP="00090759">
            <w:pPr>
              <w:keepNext/>
              <w:keepLines/>
              <w:jc w:val="center"/>
              <w:cnfStyle w:val="000000010000" w:firstRow="0" w:lastRow="0" w:firstColumn="0" w:lastColumn="0" w:oddVBand="0" w:evenVBand="0" w:oddHBand="0" w:evenHBand="1" w:firstRowFirstColumn="0" w:firstRowLastColumn="0" w:lastRowFirstColumn="0" w:lastRowLastColumn="0"/>
              <w:rPr>
                <w:szCs w:val="20"/>
              </w:rPr>
            </w:pPr>
            <m:oMathPara>
              <m:oMath>
                <m:f>
                  <m:fPr>
                    <m:ctrlPr>
                      <w:rPr>
                        <w:rFonts w:ascii="Cambria Math" w:hAnsi="Cambria Math"/>
                        <w:i/>
                        <w:szCs w:val="20"/>
                      </w:rPr>
                    </m:ctrlPr>
                  </m:fPr>
                  <m:num>
                    <m:r>
                      <w:rPr>
                        <w:rFonts w:ascii="Cambria Math" w:hAnsi="Cambria Math"/>
                        <w:szCs w:val="20"/>
                      </w:rPr>
                      <m:t>BTU</m:t>
                    </m:r>
                  </m:num>
                  <m:den>
                    <m:r>
                      <w:rPr>
                        <w:rFonts w:ascii="Cambria Math" w:hAnsi="Cambria Math"/>
                        <w:szCs w:val="20"/>
                      </w:rPr>
                      <m:t>hour</m:t>
                    </m:r>
                  </m:den>
                </m:f>
              </m:oMath>
            </m:oMathPara>
          </w:p>
        </w:tc>
        <w:tc>
          <w:tcPr>
            <w:tcW w:w="2162" w:type="dxa"/>
            <w:tcBorders>
              <w:top w:val="single" w:sz="8" w:space="0" w:color="DDD9C3"/>
              <w:left w:val="nil"/>
              <w:bottom w:val="single" w:sz="8" w:space="0" w:color="DDD9C3"/>
              <w:right w:val="nil"/>
            </w:tcBorders>
            <w:vAlign w:val="center"/>
          </w:tcPr>
          <w:p w14:paraId="012949A1" w14:textId="77777777" w:rsidR="00E67B92" w:rsidRDefault="0070087F" w:rsidP="00090759">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Nameplate or onsite spot measurement</w:t>
            </w:r>
          </w:p>
        </w:tc>
      </w:tr>
      <w:tr w:rsidR="00E67B92" w14:paraId="012949A7" w14:textId="77777777" w:rsidTr="00EF7A3A">
        <w:trPr>
          <w:cantSplit/>
          <w:trHeight w:val="682"/>
          <w:jc w:val="center"/>
        </w:trPr>
        <w:tc>
          <w:tcPr>
            <w:cnfStyle w:val="001000000000" w:firstRow="0" w:lastRow="0" w:firstColumn="1" w:lastColumn="0" w:oddVBand="0" w:evenVBand="0" w:oddHBand="0" w:evenHBand="0" w:firstRowFirstColumn="0" w:firstRowLastColumn="0" w:lastRowFirstColumn="0" w:lastRowLastColumn="0"/>
            <w:tcW w:w="1915" w:type="dxa"/>
            <w:tcBorders>
              <w:top w:val="single" w:sz="8" w:space="0" w:color="DDD9C3"/>
              <w:left w:val="nil"/>
              <w:bottom w:val="single" w:sz="8" w:space="0" w:color="DDD9C3"/>
              <w:right w:val="nil"/>
            </w:tcBorders>
            <w:vAlign w:val="center"/>
          </w:tcPr>
          <w:p w14:paraId="012949A3" w14:textId="77777777" w:rsidR="00E67B92" w:rsidRPr="001C0A35" w:rsidRDefault="005C5BA2" w:rsidP="00090759">
            <w:pPr>
              <w:keepNext/>
              <w:keepLines/>
              <w:jc w:val="center"/>
              <w:rPr>
                <w:szCs w:val="20"/>
              </w:rPr>
            </w:pPr>
            <m:oMathPara>
              <m:oMath>
                <m:sSub>
                  <m:sSubPr>
                    <m:ctrlPr>
                      <w:rPr>
                        <w:rFonts w:ascii="Cambria Math" w:eastAsia="Calibri" w:hAnsi="Cambria Math"/>
                        <w:i/>
                        <w:szCs w:val="20"/>
                      </w:rPr>
                    </m:ctrlPr>
                  </m:sSubPr>
                  <m:e>
                    <m:r>
                      <w:rPr>
                        <w:rFonts w:ascii="Cambria Math" w:eastAsia="Calibri" w:hAnsi="Cambria Math"/>
                        <w:szCs w:val="20"/>
                      </w:rPr>
                      <m:t>InputCap</m:t>
                    </m:r>
                  </m:e>
                  <m:sub>
                    <m:r>
                      <w:rPr>
                        <w:rFonts w:ascii="Cambria Math" w:eastAsia="Calibri" w:hAnsi="Cambria Math"/>
                        <w:szCs w:val="20"/>
                      </w:rPr>
                      <m:t>high</m:t>
                    </m:r>
                  </m:sub>
                </m:sSub>
              </m:oMath>
            </m:oMathPara>
          </w:p>
        </w:tc>
        <w:tc>
          <w:tcPr>
            <w:tcW w:w="3930" w:type="dxa"/>
            <w:tcBorders>
              <w:top w:val="single" w:sz="8" w:space="0" w:color="DDD9C3"/>
              <w:left w:val="nil"/>
              <w:bottom w:val="single" w:sz="8" w:space="0" w:color="DDD9C3"/>
              <w:right w:val="nil"/>
            </w:tcBorders>
            <w:vAlign w:val="center"/>
          </w:tcPr>
          <w:p w14:paraId="012949A4" w14:textId="77777777" w:rsidR="00E67B92" w:rsidRDefault="0070087F" w:rsidP="0070087F">
            <w:pPr>
              <w:keepNext/>
              <w:keepLines/>
              <w:cnfStyle w:val="000000000000" w:firstRow="0" w:lastRow="0" w:firstColumn="0" w:lastColumn="0" w:oddVBand="0" w:evenVBand="0" w:oddHBand="0" w:evenHBand="0" w:firstRowFirstColumn="0" w:firstRowLastColumn="0" w:lastRowFirstColumn="0" w:lastRowLastColumn="0"/>
              <w:rPr>
                <w:szCs w:val="20"/>
              </w:rPr>
            </w:pPr>
            <w:r>
              <w:rPr>
                <w:szCs w:val="20"/>
              </w:rPr>
              <w:t>Gas input capacity of the high stage</w:t>
            </w:r>
          </w:p>
        </w:tc>
        <w:tc>
          <w:tcPr>
            <w:tcW w:w="1497" w:type="dxa"/>
            <w:tcBorders>
              <w:top w:val="single" w:sz="8" w:space="0" w:color="DDD9C3"/>
              <w:left w:val="nil"/>
              <w:bottom w:val="single" w:sz="8" w:space="0" w:color="DDD9C3"/>
              <w:right w:val="nil"/>
            </w:tcBorders>
            <w:vAlign w:val="center"/>
          </w:tcPr>
          <w:p w14:paraId="012949A5" w14:textId="77777777" w:rsidR="00E67B92" w:rsidRDefault="005C5BA2" w:rsidP="00090759">
            <w:pPr>
              <w:keepNext/>
              <w:keepLines/>
              <w:jc w:val="center"/>
              <w:cnfStyle w:val="000000000000" w:firstRow="0" w:lastRow="0" w:firstColumn="0" w:lastColumn="0" w:oddVBand="0" w:evenVBand="0" w:oddHBand="0" w:evenHBand="0" w:firstRowFirstColumn="0" w:firstRowLastColumn="0" w:lastRowFirstColumn="0" w:lastRowLastColumn="0"/>
              <w:rPr>
                <w:szCs w:val="20"/>
              </w:rPr>
            </w:pPr>
            <m:oMathPara>
              <m:oMath>
                <m:f>
                  <m:fPr>
                    <m:ctrlPr>
                      <w:rPr>
                        <w:rFonts w:ascii="Cambria Math" w:hAnsi="Cambria Math"/>
                        <w:i/>
                        <w:szCs w:val="20"/>
                      </w:rPr>
                    </m:ctrlPr>
                  </m:fPr>
                  <m:num>
                    <m:r>
                      <w:rPr>
                        <w:rFonts w:ascii="Cambria Math" w:hAnsi="Cambria Math"/>
                        <w:szCs w:val="20"/>
                      </w:rPr>
                      <m:t>BTU</m:t>
                    </m:r>
                  </m:num>
                  <m:den>
                    <m:r>
                      <w:rPr>
                        <w:rFonts w:ascii="Cambria Math" w:hAnsi="Cambria Math"/>
                        <w:szCs w:val="20"/>
                      </w:rPr>
                      <m:t>hour</m:t>
                    </m:r>
                  </m:den>
                </m:f>
              </m:oMath>
            </m:oMathPara>
          </w:p>
        </w:tc>
        <w:tc>
          <w:tcPr>
            <w:tcW w:w="2162" w:type="dxa"/>
            <w:tcBorders>
              <w:top w:val="single" w:sz="8" w:space="0" w:color="DDD9C3"/>
              <w:left w:val="nil"/>
              <w:bottom w:val="single" w:sz="8" w:space="0" w:color="DDD9C3"/>
              <w:right w:val="nil"/>
            </w:tcBorders>
            <w:vAlign w:val="center"/>
          </w:tcPr>
          <w:p w14:paraId="012949A6" w14:textId="77777777" w:rsidR="00E67B92" w:rsidRDefault="0070087F" w:rsidP="00090759">
            <w:pPr>
              <w:keepNext/>
              <w:keepLines/>
              <w:jc w:val="center"/>
              <w:cnfStyle w:val="000000000000" w:firstRow="0" w:lastRow="0" w:firstColumn="0" w:lastColumn="0" w:oddVBand="0" w:evenVBand="0" w:oddHBand="0" w:evenHBand="0" w:firstRowFirstColumn="0" w:firstRowLastColumn="0" w:lastRowFirstColumn="0" w:lastRowLastColumn="0"/>
              <w:rPr>
                <w:szCs w:val="20"/>
              </w:rPr>
            </w:pPr>
            <w:r>
              <w:rPr>
                <w:szCs w:val="20"/>
              </w:rPr>
              <w:t>Nameplate or onsite spot measurement</w:t>
            </w:r>
          </w:p>
        </w:tc>
      </w:tr>
      <w:tr w:rsidR="00E67B92" w14:paraId="012949AC" w14:textId="77777777" w:rsidTr="00090759">
        <w:trPr>
          <w:cnfStyle w:val="000000010000" w:firstRow="0" w:lastRow="0" w:firstColumn="0" w:lastColumn="0" w:oddVBand="0" w:evenVBand="0" w:oddHBand="0" w:evenHBand="1"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1915" w:type="dxa"/>
            <w:tcBorders>
              <w:top w:val="single" w:sz="8" w:space="0" w:color="DDD9C3"/>
              <w:left w:val="nil"/>
              <w:bottom w:val="single" w:sz="8" w:space="0" w:color="DDD9C3"/>
              <w:right w:val="nil"/>
            </w:tcBorders>
            <w:vAlign w:val="center"/>
          </w:tcPr>
          <w:p w14:paraId="012949A8" w14:textId="77777777" w:rsidR="00E67B92" w:rsidRPr="001C0A35" w:rsidRDefault="00E67B92" w:rsidP="00090759">
            <w:pPr>
              <w:keepNext/>
              <w:keepLines/>
              <w:jc w:val="center"/>
              <w:rPr>
                <w:szCs w:val="20"/>
              </w:rPr>
            </w:pPr>
            <m:oMathPara>
              <m:oMath>
                <m:r>
                  <w:rPr>
                    <w:rFonts w:ascii="Cambria Math" w:eastAsia="Calibri" w:hAnsi="Cambria Math"/>
                    <w:szCs w:val="20"/>
                  </w:rPr>
                  <m:t>BTU Ratio</m:t>
                </m:r>
              </m:oMath>
            </m:oMathPara>
          </w:p>
        </w:tc>
        <w:tc>
          <w:tcPr>
            <w:tcW w:w="3930" w:type="dxa"/>
            <w:tcBorders>
              <w:top w:val="single" w:sz="8" w:space="0" w:color="DDD9C3"/>
              <w:left w:val="nil"/>
              <w:bottom w:val="single" w:sz="8" w:space="0" w:color="DDD9C3"/>
              <w:right w:val="nil"/>
            </w:tcBorders>
            <w:vAlign w:val="center"/>
          </w:tcPr>
          <w:p w14:paraId="012949A9" w14:textId="77777777" w:rsidR="00E67B92" w:rsidRDefault="00EF7A3A" w:rsidP="00090759">
            <w:pPr>
              <w:keepNext/>
              <w:keepLines/>
              <w:cnfStyle w:val="000000010000" w:firstRow="0" w:lastRow="0" w:firstColumn="0" w:lastColumn="0" w:oddVBand="0" w:evenVBand="0" w:oddHBand="0" w:evenHBand="1" w:firstRowFirstColumn="0" w:firstRowLastColumn="0" w:lastRowFirstColumn="0" w:lastRowLastColumn="0"/>
              <w:rPr>
                <w:szCs w:val="20"/>
              </w:rPr>
            </w:pPr>
            <w:r>
              <w:rPr>
                <w:szCs w:val="20"/>
              </w:rPr>
              <w:t xml:space="preserve">BTU </w:t>
            </w:r>
            <w:r w:rsidR="00090759">
              <w:rPr>
                <w:szCs w:val="20"/>
              </w:rPr>
              <w:t>to cubic feet</w:t>
            </w:r>
            <w:r>
              <w:rPr>
                <w:szCs w:val="20"/>
              </w:rPr>
              <w:t xml:space="preserve"> conversion factor</w:t>
            </w:r>
          </w:p>
        </w:tc>
        <w:tc>
          <w:tcPr>
            <w:tcW w:w="1497" w:type="dxa"/>
            <w:tcBorders>
              <w:top w:val="single" w:sz="8" w:space="0" w:color="DDD9C3"/>
              <w:left w:val="nil"/>
              <w:bottom w:val="single" w:sz="8" w:space="0" w:color="DDD9C3"/>
              <w:right w:val="nil"/>
            </w:tcBorders>
            <w:vAlign w:val="center"/>
          </w:tcPr>
          <w:p w14:paraId="012949AA" w14:textId="77777777" w:rsidR="00E67B92" w:rsidRDefault="005C5BA2" w:rsidP="00090759">
            <w:pPr>
              <w:keepNext/>
              <w:keepLines/>
              <w:jc w:val="center"/>
              <w:cnfStyle w:val="000000010000" w:firstRow="0" w:lastRow="0" w:firstColumn="0" w:lastColumn="0" w:oddVBand="0" w:evenVBand="0" w:oddHBand="0" w:evenHBand="1" w:firstRowFirstColumn="0" w:firstRowLastColumn="0" w:lastRowFirstColumn="0" w:lastRowLastColumn="0"/>
              <w:rPr>
                <w:szCs w:val="20"/>
              </w:rPr>
            </w:pPr>
            <m:oMathPara>
              <m:oMath>
                <m:f>
                  <m:fPr>
                    <m:ctrlPr>
                      <w:rPr>
                        <w:rFonts w:ascii="Cambria Math" w:hAnsi="Cambria Math"/>
                        <w:i/>
                        <w:szCs w:val="20"/>
                      </w:rPr>
                    </m:ctrlPr>
                  </m:fPr>
                  <m:num>
                    <m:sSup>
                      <m:sSupPr>
                        <m:ctrlPr>
                          <w:rPr>
                            <w:rFonts w:ascii="Cambria Math" w:hAnsi="Cambria Math"/>
                            <w:i/>
                            <w:szCs w:val="20"/>
                          </w:rPr>
                        </m:ctrlPr>
                      </m:sSupPr>
                      <m:e>
                        <m:r>
                          <w:rPr>
                            <w:rFonts w:ascii="Cambria Math" w:hAnsi="Cambria Math"/>
                            <w:szCs w:val="20"/>
                          </w:rPr>
                          <m:t>ft</m:t>
                        </m:r>
                      </m:e>
                      <m:sup>
                        <m:r>
                          <w:rPr>
                            <w:rFonts w:ascii="Cambria Math" w:hAnsi="Cambria Math"/>
                            <w:szCs w:val="20"/>
                          </w:rPr>
                          <m:t>3</m:t>
                        </m:r>
                      </m:sup>
                    </m:sSup>
                    <m:r>
                      <w:rPr>
                        <w:rFonts w:ascii="Cambria Math" w:hAnsi="Cambria Math"/>
                        <w:szCs w:val="20"/>
                      </w:rPr>
                      <m:t xml:space="preserve"> gas</m:t>
                    </m:r>
                  </m:num>
                  <m:den>
                    <m:r>
                      <w:rPr>
                        <w:rFonts w:ascii="Cambria Math" w:hAnsi="Cambria Math"/>
                        <w:szCs w:val="20"/>
                      </w:rPr>
                      <m:t>BTU</m:t>
                    </m:r>
                  </m:den>
                </m:f>
              </m:oMath>
            </m:oMathPara>
          </w:p>
        </w:tc>
        <w:tc>
          <w:tcPr>
            <w:tcW w:w="2162" w:type="dxa"/>
            <w:tcBorders>
              <w:top w:val="single" w:sz="8" w:space="0" w:color="DDD9C3"/>
              <w:left w:val="nil"/>
              <w:bottom w:val="single" w:sz="8" w:space="0" w:color="DDD9C3"/>
              <w:right w:val="nil"/>
            </w:tcBorders>
            <w:vAlign w:val="center"/>
          </w:tcPr>
          <w:p w14:paraId="012949AB" w14:textId="77777777" w:rsidR="00E67B92" w:rsidRDefault="00EF7A3A" w:rsidP="00090759">
            <w:pPr>
              <w:keepNext/>
              <w:keepLines/>
              <w:jc w:val="center"/>
              <w:cnfStyle w:val="000000010000" w:firstRow="0" w:lastRow="0" w:firstColumn="0" w:lastColumn="0" w:oddVBand="0" w:evenVBand="0" w:oddHBand="0" w:evenHBand="1" w:firstRowFirstColumn="0" w:firstRowLastColumn="0" w:lastRowFirstColumn="0" w:lastRowLastColumn="0"/>
              <w:rPr>
                <w:szCs w:val="20"/>
              </w:rPr>
            </w:pPr>
            <w:r>
              <w:rPr>
                <w:szCs w:val="20"/>
              </w:rPr>
              <w:t>2012-2013 data from Nicor Gas</w:t>
            </w:r>
          </w:p>
        </w:tc>
      </w:tr>
    </w:tbl>
    <w:p w14:paraId="012949AD" w14:textId="77777777" w:rsidR="00E67B92" w:rsidRDefault="00E67B92" w:rsidP="006E0D96"/>
    <w:p w14:paraId="012949AE" w14:textId="77777777" w:rsidR="00E67B92" w:rsidRDefault="00E67B92" w:rsidP="006E0D96">
      <w:r>
        <w:t>Navigant summed the gas consumption in each hour to determine the total gas consumption</w:t>
      </w:r>
      <w:r w:rsidR="00EF7A3A">
        <w:t xml:space="preserve"> for the </w:t>
      </w:r>
      <w:r w:rsidR="00A606DA">
        <w:t>duration of the metering period</w:t>
      </w:r>
      <w:r>
        <w:t xml:space="preserve">. </w:t>
      </w:r>
    </w:p>
    <w:bookmarkEnd w:id="50"/>
    <w:bookmarkEnd w:id="51"/>
    <w:bookmarkEnd w:id="52"/>
    <w:p w14:paraId="012949AF" w14:textId="77777777" w:rsidR="008217B5" w:rsidRDefault="008217B5" w:rsidP="00CF687B">
      <w:pPr>
        <w:keepNext/>
        <w:spacing w:before="240" w:after="120"/>
        <w:outlineLvl w:val="1"/>
      </w:pPr>
    </w:p>
    <w:sectPr w:rsidR="008217B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12949C9" w14:textId="77777777" w:rsidR="00B301EA" w:rsidRDefault="00B301EA" w:rsidP="00AE0D1A">
      <w:r>
        <w:separator/>
      </w:r>
    </w:p>
  </w:endnote>
  <w:endnote w:type="continuationSeparator" w:id="0">
    <w:p w14:paraId="012949CA" w14:textId="77777777" w:rsidR="00B301EA" w:rsidRDefault="00B301EA" w:rsidP="00AE0D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2949CD" w14:textId="77777777" w:rsidR="00341F22" w:rsidRDefault="00341F2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2949CE" w14:textId="77777777" w:rsidR="00341F22" w:rsidRDefault="00341F2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2949D0" w14:textId="77777777" w:rsidR="00B301EA" w:rsidRDefault="00B301EA">
    <w:pPr>
      <w:pStyle w:val="Footer"/>
    </w:pPr>
    <w:r>
      <w:t>Nicor Gas Furnace Study Final Results DRAFT</w:t>
    </w:r>
    <w:r>
      <w:tab/>
    </w:r>
    <w:r>
      <w:tab/>
    </w:r>
    <w:r>
      <w:fldChar w:fldCharType="begin"/>
    </w:r>
    <w:r>
      <w:instrText xml:space="preserve"> PAGE   \* MERGEFORMAT </w:instrText>
    </w:r>
    <w:r>
      <w:fldChar w:fldCharType="separate"/>
    </w:r>
    <w:r w:rsidR="0020613D">
      <w:rPr>
        <w:noProof/>
      </w:rPr>
      <w:t>i</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2949D1" w14:textId="77777777" w:rsidR="00B301EA" w:rsidRPr="00341F22" w:rsidRDefault="00B301EA" w:rsidP="00B301EA">
    <w:pPr>
      <w:pStyle w:val="Footer"/>
      <w:rPr>
        <w:rFonts w:ascii="Palatino Linotype" w:hAnsi="Palatino Linotype"/>
        <w:sz w:val="20"/>
        <w:szCs w:val="20"/>
      </w:rPr>
    </w:pPr>
  </w:p>
  <w:p w14:paraId="012949D2" w14:textId="77777777" w:rsidR="00B301EA" w:rsidRPr="00341F22" w:rsidRDefault="00B301EA" w:rsidP="00B301EA">
    <w:pPr>
      <w:pStyle w:val="Footer"/>
      <w:rPr>
        <w:rFonts w:ascii="Palatino Linotype" w:hAnsi="Palatino Linotype"/>
        <w:sz w:val="20"/>
        <w:szCs w:val="20"/>
      </w:rPr>
    </w:pPr>
    <w:r w:rsidRPr="00341F22">
      <w:rPr>
        <w:rFonts w:ascii="Palatino Linotype" w:hAnsi="Palatino Linotype"/>
        <w:sz w:val="20"/>
        <w:szCs w:val="20"/>
      </w:rPr>
      <w:t xml:space="preserve">Nicor Gas Furnace </w:t>
    </w:r>
    <w:r w:rsidR="00341F22">
      <w:rPr>
        <w:rFonts w:ascii="Palatino Linotype" w:hAnsi="Palatino Linotype"/>
        <w:sz w:val="20"/>
        <w:szCs w:val="20"/>
      </w:rPr>
      <w:t xml:space="preserve">Metering </w:t>
    </w:r>
    <w:r w:rsidRPr="00341F22">
      <w:rPr>
        <w:rFonts w:ascii="Palatino Linotype" w:hAnsi="Palatino Linotype"/>
        <w:sz w:val="20"/>
        <w:szCs w:val="20"/>
      </w:rPr>
      <w:t xml:space="preserve">Study </w:t>
    </w:r>
    <w:r w:rsidR="00341F22">
      <w:rPr>
        <w:rFonts w:ascii="Palatino Linotype" w:hAnsi="Palatino Linotype"/>
        <w:sz w:val="20"/>
        <w:szCs w:val="20"/>
      </w:rPr>
      <w:t xml:space="preserve">Research Report </w:t>
    </w:r>
    <w:r w:rsidRPr="00341F22">
      <w:rPr>
        <w:rFonts w:ascii="Palatino Linotype" w:hAnsi="Palatino Linotype"/>
        <w:sz w:val="20"/>
        <w:szCs w:val="20"/>
      </w:rPr>
      <w:t>DRAFT</w:t>
    </w:r>
    <w:r w:rsidRPr="00341F22">
      <w:rPr>
        <w:rFonts w:ascii="Palatino Linotype" w:hAnsi="Palatino Linotype"/>
        <w:sz w:val="20"/>
        <w:szCs w:val="20"/>
      </w:rPr>
      <w:tab/>
      <w:t xml:space="preserve">Page </w:t>
    </w:r>
    <w:r w:rsidRPr="00341F22">
      <w:rPr>
        <w:rFonts w:ascii="Palatino Linotype" w:hAnsi="Palatino Linotype"/>
        <w:sz w:val="20"/>
        <w:szCs w:val="20"/>
      </w:rPr>
      <w:fldChar w:fldCharType="begin"/>
    </w:r>
    <w:r w:rsidRPr="00341F22">
      <w:rPr>
        <w:rFonts w:ascii="Palatino Linotype" w:hAnsi="Palatino Linotype"/>
        <w:sz w:val="20"/>
        <w:szCs w:val="20"/>
      </w:rPr>
      <w:instrText xml:space="preserve"> PAGE   \* MERGEFORMAT </w:instrText>
    </w:r>
    <w:r w:rsidRPr="00341F22">
      <w:rPr>
        <w:rFonts w:ascii="Palatino Linotype" w:hAnsi="Palatino Linotype"/>
        <w:sz w:val="20"/>
        <w:szCs w:val="20"/>
      </w:rPr>
      <w:fldChar w:fldCharType="separate"/>
    </w:r>
    <w:r w:rsidR="005C5BA2">
      <w:rPr>
        <w:rFonts w:ascii="Palatino Linotype" w:hAnsi="Palatino Linotype"/>
        <w:noProof/>
        <w:sz w:val="20"/>
        <w:szCs w:val="20"/>
      </w:rPr>
      <w:t>10</w:t>
    </w:r>
    <w:r w:rsidRPr="00341F22">
      <w:rPr>
        <w:rFonts w:ascii="Palatino Linotype" w:hAnsi="Palatino Linotype"/>
        <w:noProof/>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2949C7" w14:textId="77777777" w:rsidR="00B301EA" w:rsidRDefault="00B301EA" w:rsidP="00AE0D1A">
      <w:r>
        <w:separator/>
      </w:r>
    </w:p>
  </w:footnote>
  <w:footnote w:type="continuationSeparator" w:id="0">
    <w:p w14:paraId="012949C8" w14:textId="77777777" w:rsidR="00B301EA" w:rsidRDefault="00B301EA" w:rsidP="00AE0D1A">
      <w:r>
        <w:continuationSeparator/>
      </w:r>
    </w:p>
  </w:footnote>
  <w:footnote w:id="1">
    <w:p w14:paraId="012949D3" w14:textId="77777777" w:rsidR="00B301EA" w:rsidRDefault="00B301EA">
      <w:pPr>
        <w:pStyle w:val="FootnoteText"/>
      </w:pPr>
      <w:r>
        <w:rPr>
          <w:rStyle w:val="FootnoteReference"/>
        </w:rPr>
        <w:footnoteRef/>
      </w:r>
      <w:r>
        <w:t xml:space="preserve"> TRM heating load for the Chicago area. Nicor Gas participants are predominantly in this climate zone, but there are some in the Rockford zone (as defined by the TRM) as well. </w:t>
      </w:r>
    </w:p>
  </w:footnote>
  <w:footnote w:id="2">
    <w:p w14:paraId="012949D4" w14:textId="77777777" w:rsidR="00B301EA" w:rsidRDefault="00B301EA">
      <w:pPr>
        <w:pStyle w:val="FootnoteText"/>
      </w:pPr>
      <w:r>
        <w:rPr>
          <w:rStyle w:val="FootnoteReference"/>
        </w:rPr>
        <w:footnoteRef/>
      </w:r>
      <w:r>
        <w:t xml:space="preserve"> Based on TRM baseline of 80% AFUE and installed AFUE of 95%</w:t>
      </w:r>
    </w:p>
  </w:footnote>
  <w:footnote w:id="3">
    <w:p w14:paraId="012949D5" w14:textId="77777777" w:rsidR="00B301EA" w:rsidRDefault="00B301EA" w:rsidP="00AE0D1A">
      <w:pPr>
        <w:pStyle w:val="FootnoteText"/>
      </w:pPr>
      <w:r>
        <w:rPr>
          <w:rStyle w:val="FootnoteReference"/>
        </w:rPr>
        <w:footnoteRef/>
      </w:r>
      <w:r>
        <w:t xml:space="preserve"> Although preliminary results reported in the GPY1 HEER report indicated a slightly larger sample, a few participants showed null billing records for 2012-2013. This indicated that participants may have moved and these records were removed from the analysis.</w:t>
      </w:r>
    </w:p>
  </w:footnote>
  <w:footnote w:id="4">
    <w:p w14:paraId="012949D6" w14:textId="77777777" w:rsidR="00B301EA" w:rsidRDefault="00B301EA">
      <w:pPr>
        <w:pStyle w:val="FootnoteText"/>
      </w:pPr>
      <w:r>
        <w:rPr>
          <w:rStyle w:val="FootnoteReference"/>
        </w:rPr>
        <w:footnoteRef/>
      </w:r>
      <w:r>
        <w:t xml:space="preserve"> For additional description of double ratio estimation, see: Wright, R.L. et al. “Double Ratio Analysis: A New Tool for Cost-Effective Monitoring.” ACEEE, 1994. </w:t>
      </w:r>
    </w:p>
  </w:footnote>
  <w:footnote w:id="5">
    <w:p w14:paraId="012949D7" w14:textId="77777777" w:rsidR="00B301EA" w:rsidRDefault="00B301EA">
      <w:pPr>
        <w:pStyle w:val="FootnoteText"/>
      </w:pPr>
      <w:r>
        <w:rPr>
          <w:rStyle w:val="FootnoteReference"/>
        </w:rPr>
        <w:footnoteRef/>
      </w:r>
      <w:r>
        <w:t xml:space="preserve"> Navigant kept participants with modulating furnaces in the billing data sample, but did not include these in the sample frame for the on-sites because they would require a different metering approach.</w:t>
      </w:r>
    </w:p>
  </w:footnote>
  <w:footnote w:id="6">
    <w:p w14:paraId="012949D8" w14:textId="77777777" w:rsidR="00B301EA" w:rsidRDefault="00B301EA">
      <w:pPr>
        <w:pStyle w:val="FootnoteText"/>
      </w:pPr>
      <w:r>
        <w:rPr>
          <w:rStyle w:val="FootnoteReference"/>
        </w:rPr>
        <w:footnoteRef/>
      </w:r>
      <w:r>
        <w:t xml:space="preserve"> Due to mapping program limitations, only 250 of the 380 sites are shown on this map. All 39 metered sites are shown.</w:t>
      </w:r>
    </w:p>
  </w:footnote>
  <w:footnote w:id="7">
    <w:p w14:paraId="012949D9" w14:textId="77777777" w:rsidR="00B301EA" w:rsidRDefault="00B301EA" w:rsidP="00AE0D1A">
      <w:pPr>
        <w:pStyle w:val="FootnoteText"/>
      </w:pPr>
      <w:r>
        <w:rPr>
          <w:rStyle w:val="FootnoteReference"/>
        </w:rPr>
        <w:footnoteRef/>
      </w:r>
      <w:r>
        <w:t xml:space="preserve"> Some dual stage furnaces are hardwired to operate in one stage only, or may be programmed in such a way that getting the high stage to fire in moderate weather is not feasible (and trying could cause participants discomfort).</w:t>
      </w:r>
    </w:p>
  </w:footnote>
  <w:footnote w:id="8">
    <w:p w14:paraId="012949DA" w14:textId="77777777" w:rsidR="00B301EA" w:rsidRDefault="00B301EA">
      <w:pPr>
        <w:pStyle w:val="FootnoteText"/>
      </w:pPr>
      <w:r>
        <w:rPr>
          <w:rStyle w:val="FootnoteReference"/>
        </w:rPr>
        <w:footnoteRef/>
      </w:r>
      <w:r>
        <w:t xml:space="preserve"> “Flicker” occurs when the data logger quickly oscillates between the “on” state and “off” state without characterizing the true operation of the furnace.</w:t>
      </w:r>
    </w:p>
  </w:footnote>
  <w:footnote w:id="9">
    <w:p w14:paraId="012949DB" w14:textId="77777777" w:rsidR="00B301EA" w:rsidRDefault="00B301EA" w:rsidP="00A52B37">
      <w:pPr>
        <w:pStyle w:val="FootnoteText"/>
      </w:pPr>
      <w:r>
        <w:rPr>
          <w:rStyle w:val="FootnoteReference"/>
        </w:rPr>
        <w:footnoteRef/>
      </w:r>
      <w:r>
        <w:t xml:space="preserve"> The BTU ratio is a conversion factor for converting CCF to BTUs. This ratio varies seasonally and geographically. Navigant used a weighted average BTU ratio of </w:t>
      </w:r>
      <w:r w:rsidRPr="00643E0D">
        <w:t>1.0137</w:t>
      </w:r>
      <w:r>
        <w:t xml:space="preserve"> CCF/BTU based on 2011 data from Nicor Gas.</w:t>
      </w:r>
    </w:p>
  </w:footnote>
  <w:footnote w:id="10">
    <w:p w14:paraId="012949DC" w14:textId="77777777" w:rsidR="00B301EA" w:rsidRDefault="00B301EA">
      <w:pPr>
        <w:pStyle w:val="FootnoteText"/>
      </w:pPr>
      <w:r>
        <w:rPr>
          <w:rStyle w:val="FootnoteReference"/>
        </w:rPr>
        <w:footnoteRef/>
      </w:r>
      <w:r>
        <w:t xml:space="preserve"> Navigant used the EnergyPlus engine with the BEopt software. EnergyPlus was also developed by NREL. </w:t>
      </w:r>
    </w:p>
  </w:footnote>
  <w:footnote w:id="11">
    <w:p w14:paraId="012949DD" w14:textId="77777777" w:rsidR="00B301EA" w:rsidRDefault="00B301EA">
      <w:pPr>
        <w:pStyle w:val="FootnoteText"/>
      </w:pPr>
      <w:r>
        <w:rPr>
          <w:rStyle w:val="FootnoteReference"/>
        </w:rPr>
        <w:footnoteRef/>
      </w:r>
      <w:r>
        <w:t xml:space="preserve"> Navigant used an actual weather file from Chicago O’Hare airport for July 2012 – June 2013 to calibrate the model. The TMY3 file was also for Chicago O’Hare. The TMY3 file reflects the average weather from 1991 to 2005 at a given location. </w:t>
      </w:r>
    </w:p>
  </w:footnote>
  <w:footnote w:id="12">
    <w:p w14:paraId="012949DE" w14:textId="77777777" w:rsidR="00B301EA" w:rsidRDefault="00B301EA">
      <w:pPr>
        <w:pStyle w:val="FootnoteText"/>
      </w:pPr>
      <w:r>
        <w:rPr>
          <w:rStyle w:val="FootnoteReference"/>
        </w:rPr>
        <w:footnoteRef/>
      </w:r>
      <w:r>
        <w:t xml:space="preserve"> Navigant installed loggers during the month of November 2012 and removed them during May 2013. In order to compare to monthly billing data, Navigant limited the metered-to-billing ratio calculation to the months with complete data. </w:t>
      </w:r>
    </w:p>
  </w:footnote>
  <w:footnote w:id="13">
    <w:p w14:paraId="012949DF" w14:textId="77777777" w:rsidR="00B301EA" w:rsidRDefault="00B301EA">
      <w:pPr>
        <w:pStyle w:val="FootnoteText"/>
      </w:pPr>
      <w:r>
        <w:rPr>
          <w:rStyle w:val="FootnoteReference"/>
        </w:rPr>
        <w:footnoteRef/>
      </w:r>
      <w:r>
        <w:t xml:space="preserve"> Wright, R.L. et al. “Double Ratio Analysis: A New Tool for Cost-Effective Monitoring.” ACEEE, 1994.</w:t>
      </w:r>
    </w:p>
  </w:footnote>
  <w:footnote w:id="14">
    <w:p w14:paraId="012949E0" w14:textId="77777777" w:rsidR="00B301EA" w:rsidRDefault="00B301EA">
      <w:pPr>
        <w:pStyle w:val="FootnoteText"/>
      </w:pPr>
      <w:r>
        <w:rPr>
          <w:rStyle w:val="FootnoteReference"/>
        </w:rPr>
        <w:footnoteRef/>
      </w:r>
      <w:r>
        <w:t xml:space="preserve"> There are no statistical metrics for the step where Navigant extrapolated 2012-2013 data to a typical weather year; this is simply a weather adjustment to provide a result than can be used for annual savings across any given year. </w:t>
      </w:r>
    </w:p>
  </w:footnote>
  <w:footnote w:id="15">
    <w:p w14:paraId="012949E1" w14:textId="77777777" w:rsidR="00B301EA" w:rsidRDefault="00B301EA">
      <w:pPr>
        <w:pStyle w:val="FootnoteText"/>
      </w:pPr>
      <w:r>
        <w:rPr>
          <w:rStyle w:val="FootnoteReference"/>
        </w:rPr>
        <w:footnoteRef/>
      </w:r>
      <w:r>
        <w:t xml:space="preserve"> Average installed AFUE, weighted by site consumption</w:t>
      </w:r>
    </w:p>
  </w:footnote>
  <w:footnote w:id="16">
    <w:p w14:paraId="012949E2" w14:textId="77777777" w:rsidR="00B301EA" w:rsidRDefault="00B301EA" w:rsidP="00AE0D1A">
      <w:pPr>
        <w:pStyle w:val="FootnoteText"/>
      </w:pPr>
      <w:r>
        <w:rPr>
          <w:rStyle w:val="FootnoteReference"/>
        </w:rPr>
        <w:footnoteRef/>
      </w:r>
      <w:r>
        <w:t xml:space="preserve"> Building America Benchmarking Program Database. U.S. Department of Energy, 2010.</w:t>
      </w:r>
    </w:p>
  </w:footnote>
  <w:footnote w:id="17">
    <w:p w14:paraId="012949E3" w14:textId="77777777" w:rsidR="00B301EA" w:rsidRDefault="00B301EA" w:rsidP="00AE0D1A">
      <w:pPr>
        <w:pStyle w:val="FootnoteText"/>
      </w:pPr>
      <w:r>
        <w:rPr>
          <w:rStyle w:val="FootnoteReference"/>
        </w:rPr>
        <w:footnoteRef/>
      </w:r>
      <w:r>
        <w:t xml:space="preserve"> Jacobson, B. and K. Lawless. “Service Territory Baseline and Energy Efficiency Market Potential Study for Nicor Gas Energy Efficiency Program.”  Bass &amp; Company, 2010.</w:t>
      </w:r>
    </w:p>
  </w:footnote>
  <w:footnote w:id="18">
    <w:p w14:paraId="012949E4" w14:textId="77777777" w:rsidR="00B301EA" w:rsidRDefault="00B301EA" w:rsidP="006E0D96">
      <w:pPr>
        <w:pStyle w:val="FootnoteText"/>
      </w:pPr>
      <w:r>
        <w:rPr>
          <w:rStyle w:val="FootnoteReference"/>
        </w:rPr>
        <w:footnoteRef/>
      </w:r>
      <w:r>
        <w:t xml:space="preserve"> “Flicker” occurs when the data logger quickly oscillates between the “on” state and “off” state without characterizing the true operation of the furnace.</w:t>
      </w:r>
    </w:p>
  </w:footnote>
  <w:footnote w:id="19">
    <w:p w14:paraId="012949E5" w14:textId="77777777" w:rsidR="00B301EA" w:rsidRDefault="00B301EA" w:rsidP="002A587A">
      <w:pPr>
        <w:pStyle w:val="FootnoteText"/>
      </w:pPr>
      <w:r>
        <w:rPr>
          <w:rStyle w:val="FootnoteReference"/>
        </w:rPr>
        <w:footnoteRef/>
      </w:r>
      <w:r>
        <w:t xml:space="preserve"> The BTU ratio is a conversion factor for converting CCF to BTUs. This ratio varies seasonally and geographically. Navigant used a weighted average BTU ratio of </w:t>
      </w:r>
      <w:r w:rsidRPr="00643E0D">
        <w:t>1.0137</w:t>
      </w:r>
      <w:r>
        <w:t xml:space="preserve"> CCF/BTU based on 2012-2013 data from Nicor Gas.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2949CB" w14:textId="77777777" w:rsidR="00341F22" w:rsidRDefault="00341F2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2949CC" w14:textId="77777777" w:rsidR="00341F22" w:rsidRDefault="00341F2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2949CF" w14:textId="77777777" w:rsidR="00341F22" w:rsidRDefault="00341F2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D772E162"/>
    <w:lvl w:ilvl="0">
      <w:numFmt w:val="decimal"/>
      <w:pStyle w:val="Bullet-ItalicIndent"/>
      <w:lvlText w:val="*"/>
      <w:lvlJc w:val="left"/>
      <w:pPr>
        <w:ind w:left="0" w:firstLine="0"/>
      </w:pPr>
    </w:lvl>
  </w:abstractNum>
  <w:abstractNum w:abstractNumId="1">
    <w:nsid w:val="03FF01AE"/>
    <w:multiLevelType w:val="hybridMultilevel"/>
    <w:tmpl w:val="2052743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D16406"/>
    <w:multiLevelType w:val="hybridMultilevel"/>
    <w:tmpl w:val="79C295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6132658"/>
    <w:multiLevelType w:val="multilevel"/>
    <w:tmpl w:val="A6ACC31A"/>
    <w:lvl w:ilvl="0">
      <w:numFmt w:val="bullet"/>
      <w:pStyle w:val="Bullets"/>
      <w:lvlText w:val=""/>
      <w:lvlJc w:val="left"/>
      <w:pPr>
        <w:tabs>
          <w:tab w:val="num" w:pos="360"/>
        </w:tabs>
        <w:ind w:left="360" w:hanging="360"/>
      </w:pPr>
      <w:rPr>
        <w:rFonts w:ascii="Symbol" w:hAnsi="Symbol" w:hint="default"/>
        <w:sz w:val="24"/>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800"/>
        </w:tabs>
        <w:ind w:left="1800" w:hanging="360"/>
      </w:pPr>
      <w:rPr>
        <w:rFonts w:ascii="Symbol" w:hAnsi="Symbol"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
      <w:lvlJc w:val="left"/>
      <w:pPr>
        <w:tabs>
          <w:tab w:val="num" w:pos="3240"/>
        </w:tabs>
        <w:ind w:left="3240" w:hanging="360"/>
      </w:pPr>
      <w:rPr>
        <w:rFonts w:ascii="Symbol" w:hAnsi="Symbol" w:hint="default"/>
      </w:rPr>
    </w:lvl>
    <w:lvl w:ilvl="5">
      <w:start w:val="1"/>
      <w:numFmt w:val="bullet"/>
      <w:lvlText w:val=""/>
      <w:lvlJc w:val="left"/>
      <w:pPr>
        <w:tabs>
          <w:tab w:val="num" w:pos="3960"/>
        </w:tabs>
        <w:ind w:left="3960" w:hanging="360"/>
      </w:pPr>
      <w:rPr>
        <w:rFonts w:ascii="Symbol" w:hAnsi="Symbol"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
      <w:lvlJc w:val="left"/>
      <w:pPr>
        <w:tabs>
          <w:tab w:val="num" w:pos="5400"/>
        </w:tabs>
        <w:ind w:left="5400" w:hanging="360"/>
      </w:pPr>
      <w:rPr>
        <w:rFonts w:ascii="Symbol" w:hAnsi="Symbol" w:hint="default"/>
      </w:rPr>
    </w:lvl>
    <w:lvl w:ilvl="8">
      <w:start w:val="1"/>
      <w:numFmt w:val="bullet"/>
      <w:lvlText w:val=""/>
      <w:lvlJc w:val="left"/>
      <w:pPr>
        <w:tabs>
          <w:tab w:val="num" w:pos="6120"/>
        </w:tabs>
        <w:ind w:left="6120" w:hanging="360"/>
      </w:pPr>
      <w:rPr>
        <w:rFonts w:ascii="Symbol" w:hAnsi="Symbol" w:hint="default"/>
      </w:rPr>
    </w:lvl>
  </w:abstractNum>
  <w:abstractNum w:abstractNumId="4">
    <w:nsid w:val="065179FF"/>
    <w:multiLevelType w:val="multilevel"/>
    <w:tmpl w:val="5F70D554"/>
    <w:lvl w:ilvl="0">
      <w:start w:val="1"/>
      <w:numFmt w:val="decimal"/>
      <w:pStyle w:val="Heading1"/>
      <w:lvlText w:val="%1."/>
      <w:lvlJc w:val="left"/>
      <w:pPr>
        <w:ind w:left="432" w:hanging="432"/>
      </w:pPr>
    </w:lvl>
    <w:lvl w:ilvl="1">
      <w:start w:val="1"/>
      <w:numFmt w:val="decimal"/>
      <w:pStyle w:val="Heading2"/>
      <w:lvlText w:val="%1.%2"/>
      <w:lvlJc w:val="left"/>
      <w:pPr>
        <w:ind w:left="810" w:hanging="720"/>
      </w:pPr>
    </w:lvl>
    <w:lvl w:ilvl="2">
      <w:start w:val="1"/>
      <w:numFmt w:val="decimal"/>
      <w:pStyle w:val="Heading3"/>
      <w:lvlText w:val="%1.%2.%3"/>
      <w:lvlJc w:val="left"/>
      <w:pPr>
        <w:ind w:left="720" w:hanging="720"/>
      </w:pPr>
    </w:lvl>
    <w:lvl w:ilvl="3">
      <w:start w:val="1"/>
      <w:numFmt w:val="decimal"/>
      <w:lvlRestart w:val="1"/>
      <w:pStyle w:val="Heading4"/>
      <w:lvlText w:val="%1.%2.%3.%4"/>
      <w:lvlJc w:val="left"/>
      <w:pPr>
        <w:ind w:left="864" w:hanging="864"/>
      </w:pPr>
      <w:rPr>
        <w:rFonts w:ascii="Palatino Linotype" w:hAnsi="Palatino Linotype" w:hint="default"/>
        <w:b/>
        <w:i/>
        <w:kern w:val="0"/>
        <w:position w:val="0"/>
        <w:sz w:val="20"/>
      </w:rPr>
    </w:lvl>
    <w:lvl w:ilvl="4">
      <w:start w:val="1"/>
      <w:numFmt w:val="upperLetter"/>
      <w:pStyle w:val="Heading5"/>
      <w:lvlText w:val="Appendix %5."/>
      <w:lvlJc w:val="left"/>
      <w:pPr>
        <w:ind w:left="1008" w:hanging="1008"/>
      </w:pPr>
      <w:rPr>
        <w:rFonts w:ascii="Palatino Linotype" w:hAnsi="Palatino Linotype" w:hint="default"/>
        <w:b/>
        <w:i w:val="0"/>
        <w:color w:val="FFFFFF"/>
        <w:kern w:val="28"/>
        <w:position w:val="6"/>
        <w:sz w:val="24"/>
      </w:rPr>
    </w:lvl>
    <w:lvl w:ilvl="5">
      <w:start w:val="1"/>
      <w:numFmt w:val="decimal"/>
      <w:pStyle w:val="Heading6"/>
      <w:lvlText w:val="%5.%6"/>
      <w:lvlJc w:val="left"/>
      <w:pPr>
        <w:ind w:left="720" w:hanging="720"/>
      </w:pPr>
      <w:rPr>
        <w:rFonts w:ascii="Palatino Linotype" w:hAnsi="Palatino Linotype" w:hint="default"/>
        <w:b/>
        <w:i/>
        <w:color w:val="000000"/>
        <w:kern w:val="0"/>
        <w:sz w:val="24"/>
      </w:rPr>
    </w:lvl>
    <w:lvl w:ilvl="6">
      <w:start w:val="1"/>
      <w:numFmt w:val="none"/>
      <w:lvlText w:val=""/>
      <w:lvlJc w:val="left"/>
      <w:pPr>
        <w:ind w:left="720" w:hanging="720"/>
      </w:pPr>
      <w:rPr>
        <w:rFonts w:ascii="Palatino Linotype" w:hAnsi="Palatino Linotype" w:hint="default"/>
        <w:b/>
        <w:i/>
        <w:color w:val="auto"/>
        <w:sz w:val="24"/>
      </w:rPr>
    </w:lvl>
    <w:lvl w:ilvl="7">
      <w:start w:val="1"/>
      <w:numFmt w:val="none"/>
      <w:lvlText w:val=""/>
      <w:lvlJc w:val="left"/>
      <w:pPr>
        <w:ind w:left="720" w:hanging="720"/>
      </w:pPr>
      <w:rPr>
        <w:rFonts w:ascii="Arial Narrow" w:hAnsi="Arial Narrow" w:hint="default"/>
        <w:b/>
        <w:i w:val="0"/>
        <w:color w:val="A15500"/>
        <w:sz w:val="20"/>
        <w:u w:color="FFFFFF"/>
      </w:rPr>
    </w:lvl>
    <w:lvl w:ilvl="8">
      <w:start w:val="1"/>
      <w:numFmt w:val="none"/>
      <w:lvlText w:val=""/>
      <w:lvlJc w:val="left"/>
      <w:pPr>
        <w:ind w:left="1584" w:hanging="1584"/>
      </w:pPr>
    </w:lvl>
  </w:abstractNum>
  <w:abstractNum w:abstractNumId="5">
    <w:nsid w:val="0C6644E4"/>
    <w:multiLevelType w:val="multilevel"/>
    <w:tmpl w:val="D8304EC2"/>
    <w:styleLink w:val="StyleBulleted9"/>
    <w:lvl w:ilvl="0">
      <w:start w:val="1"/>
      <w:numFmt w:val="bullet"/>
      <w:pStyle w:val="Bullet-Short"/>
      <w:lvlText w:val="»"/>
      <w:lvlJc w:val="left"/>
      <w:pPr>
        <w:tabs>
          <w:tab w:val="num" w:pos="720"/>
        </w:tabs>
        <w:ind w:left="720" w:hanging="360"/>
      </w:pPr>
      <w:rPr>
        <w:rFonts w:ascii="Palatino Linotype" w:hAnsi="Palatino Linotype"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0D262BC8"/>
    <w:multiLevelType w:val="multilevel"/>
    <w:tmpl w:val="51FECC92"/>
    <w:styleLink w:val="StyleNumberedLeft025Hanging025"/>
    <w:lvl w:ilvl="0">
      <w:start w:val="1"/>
      <w:numFmt w:val="decimal"/>
      <w:lvlText w:val="%1."/>
      <w:lvlJc w:val="left"/>
      <w:pPr>
        <w:tabs>
          <w:tab w:val="num" w:pos="936"/>
        </w:tabs>
        <w:ind w:left="936" w:hanging="360"/>
      </w:pPr>
      <w:rPr>
        <w:rFonts w:ascii="Palatino Linotype" w:hAnsi="Palatino Linotype"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nsid w:val="0E336D9B"/>
    <w:multiLevelType w:val="multilevel"/>
    <w:tmpl w:val="4B7E88A4"/>
    <w:lvl w:ilvl="0">
      <w:start w:val="1"/>
      <w:numFmt w:val="decimal"/>
      <w:lvlText w:val="%1."/>
      <w:lvlJc w:val="left"/>
      <w:pPr>
        <w:ind w:left="432" w:hanging="432"/>
      </w:pPr>
    </w:lvl>
    <w:lvl w:ilvl="1">
      <w:start w:val="1"/>
      <w:numFmt w:val="decimal"/>
      <w:lvlText w:val="%1.%2"/>
      <w:lvlJc w:val="left"/>
      <w:pPr>
        <w:ind w:left="810" w:hanging="720"/>
      </w:pPr>
    </w:lvl>
    <w:lvl w:ilvl="2">
      <w:start w:val="1"/>
      <w:numFmt w:val="decimal"/>
      <w:lvlText w:val="%1.%2.%3"/>
      <w:lvlJc w:val="left"/>
      <w:pPr>
        <w:ind w:left="720" w:hanging="720"/>
      </w:pPr>
    </w:lvl>
    <w:lvl w:ilvl="3">
      <w:start w:val="1"/>
      <w:numFmt w:val="decimal"/>
      <w:lvlRestart w:val="1"/>
      <w:lvlText w:val="%1.%2.%3.%4"/>
      <w:lvlJc w:val="left"/>
      <w:pPr>
        <w:ind w:left="864" w:hanging="864"/>
      </w:pPr>
      <w:rPr>
        <w:rFonts w:ascii="Palatino Linotype" w:hAnsi="Palatino Linotype" w:hint="default"/>
        <w:b/>
        <w:i/>
        <w:kern w:val="0"/>
        <w:position w:val="0"/>
        <w:sz w:val="20"/>
      </w:rPr>
    </w:lvl>
    <w:lvl w:ilvl="4">
      <w:start w:val="1"/>
      <w:numFmt w:val="upperLetter"/>
      <w:lvlText w:val="Appendix %5."/>
      <w:lvlJc w:val="left"/>
      <w:pPr>
        <w:ind w:left="1008" w:hanging="1008"/>
      </w:pPr>
      <w:rPr>
        <w:rFonts w:ascii="Palatino Linotype" w:hAnsi="Palatino Linotype" w:hint="default"/>
        <w:b/>
        <w:i w:val="0"/>
        <w:color w:val="FFFFFF"/>
        <w:kern w:val="28"/>
        <w:position w:val="6"/>
        <w:sz w:val="24"/>
      </w:rPr>
    </w:lvl>
    <w:lvl w:ilvl="5">
      <w:start w:val="1"/>
      <w:numFmt w:val="decimal"/>
      <w:lvlText w:val="%5.%6"/>
      <w:lvlJc w:val="left"/>
      <w:pPr>
        <w:ind w:left="720" w:hanging="720"/>
      </w:pPr>
      <w:rPr>
        <w:rFonts w:ascii="Palatino Linotype" w:hAnsi="Palatino Linotype" w:hint="default"/>
        <w:b/>
        <w:i/>
        <w:color w:val="000000"/>
        <w:kern w:val="0"/>
        <w:sz w:val="24"/>
      </w:rPr>
    </w:lvl>
    <w:lvl w:ilvl="6">
      <w:start w:val="1"/>
      <w:numFmt w:val="none"/>
      <w:lvlText w:val=""/>
      <w:lvlJc w:val="left"/>
      <w:pPr>
        <w:ind w:left="720" w:hanging="720"/>
      </w:pPr>
      <w:rPr>
        <w:rFonts w:ascii="Palatino Linotype" w:hAnsi="Palatino Linotype" w:hint="default"/>
        <w:b/>
        <w:i/>
        <w:color w:val="auto"/>
        <w:sz w:val="24"/>
      </w:rPr>
    </w:lvl>
    <w:lvl w:ilvl="7">
      <w:start w:val="1"/>
      <w:numFmt w:val="none"/>
      <w:lvlText w:val=""/>
      <w:lvlJc w:val="left"/>
      <w:pPr>
        <w:ind w:left="720" w:hanging="720"/>
      </w:pPr>
      <w:rPr>
        <w:rFonts w:ascii="Arial Narrow" w:hAnsi="Arial Narrow" w:hint="default"/>
        <w:b/>
        <w:i w:val="0"/>
        <w:color w:val="A15500"/>
        <w:sz w:val="20"/>
        <w:u w:color="FFFFFF"/>
      </w:rPr>
    </w:lvl>
    <w:lvl w:ilvl="8">
      <w:start w:val="1"/>
      <w:numFmt w:val="none"/>
      <w:lvlText w:val=""/>
      <w:lvlJc w:val="left"/>
      <w:pPr>
        <w:ind w:left="1584" w:hanging="1584"/>
      </w:pPr>
    </w:lvl>
  </w:abstractNum>
  <w:abstractNum w:abstractNumId="8">
    <w:nsid w:val="0FAF6321"/>
    <w:multiLevelType w:val="hybridMultilevel"/>
    <w:tmpl w:val="6798B396"/>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1EB0F87"/>
    <w:multiLevelType w:val="hybridMultilevel"/>
    <w:tmpl w:val="DF9E57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752558C"/>
    <w:multiLevelType w:val="hybridMultilevel"/>
    <w:tmpl w:val="41A84C8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7570B26"/>
    <w:multiLevelType w:val="hybridMultilevel"/>
    <w:tmpl w:val="8D6CF9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784507B"/>
    <w:multiLevelType w:val="hybridMultilevel"/>
    <w:tmpl w:val="7902DE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9371308"/>
    <w:multiLevelType w:val="hybridMultilevel"/>
    <w:tmpl w:val="91FE46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F983FDA"/>
    <w:multiLevelType w:val="hybridMultilevel"/>
    <w:tmpl w:val="9B4C31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5B07E1B"/>
    <w:multiLevelType w:val="hybridMultilevel"/>
    <w:tmpl w:val="604EF0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5D63E1C"/>
    <w:multiLevelType w:val="multilevel"/>
    <w:tmpl w:val="42E6EFA2"/>
    <w:styleLink w:val="StyleBulleted"/>
    <w:lvl w:ilvl="0">
      <w:start w:val="1"/>
      <w:numFmt w:val="bullet"/>
      <w:lvlText w:val="»"/>
      <w:lvlJc w:val="left"/>
      <w:pPr>
        <w:tabs>
          <w:tab w:val="num" w:pos="972"/>
        </w:tabs>
        <w:ind w:left="972" w:hanging="432"/>
      </w:pPr>
      <w:rPr>
        <w:rFonts w:ascii="Palatino Linotype" w:hAnsi="Palatino Linotype" w:hint="default"/>
      </w:r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nsid w:val="25F609A8"/>
    <w:multiLevelType w:val="hybridMultilevel"/>
    <w:tmpl w:val="666CAD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784231A"/>
    <w:multiLevelType w:val="hybridMultilevel"/>
    <w:tmpl w:val="848697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AB81689"/>
    <w:multiLevelType w:val="hybridMultilevel"/>
    <w:tmpl w:val="72C66F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FFA40E5"/>
    <w:multiLevelType w:val="hybridMultilevel"/>
    <w:tmpl w:val="97AAE3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6A644D1"/>
    <w:multiLevelType w:val="hybridMultilevel"/>
    <w:tmpl w:val="79C295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8991236"/>
    <w:multiLevelType w:val="hybridMultilevel"/>
    <w:tmpl w:val="8F94C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AC96003"/>
    <w:multiLevelType w:val="multilevel"/>
    <w:tmpl w:val="FA2899C8"/>
    <w:styleLink w:val="StyleBulleted6"/>
    <w:lvl w:ilvl="0">
      <w:start w:val="1"/>
      <w:numFmt w:val="bullet"/>
      <w:lvlText w:val="»"/>
      <w:lvlJc w:val="left"/>
      <w:pPr>
        <w:tabs>
          <w:tab w:val="num" w:pos="720"/>
        </w:tabs>
        <w:ind w:left="720" w:hanging="360"/>
      </w:pPr>
      <w:rPr>
        <w:rFonts w:ascii="Palatino Linotype" w:hAnsi="Palatino Linotype" w:hint="default"/>
      </w:rPr>
    </w:lvl>
    <w:lvl w:ilvl="1">
      <w:start w:val="1"/>
      <w:numFmt w:val="bullet"/>
      <w:lvlText w:val="o"/>
      <w:lvlJc w:val="left"/>
      <w:pPr>
        <w:tabs>
          <w:tab w:val="num" w:pos="1080"/>
        </w:tabs>
        <w:ind w:left="1080" w:hanging="360"/>
      </w:pPr>
      <w:rPr>
        <w:rFonts w:ascii="Courier New" w:hAnsi="Courier New"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nsid w:val="3CCF229D"/>
    <w:multiLevelType w:val="hybridMultilevel"/>
    <w:tmpl w:val="354AA5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CEA22DA"/>
    <w:multiLevelType w:val="hybridMultilevel"/>
    <w:tmpl w:val="567E831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CEA2E11"/>
    <w:multiLevelType w:val="multilevel"/>
    <w:tmpl w:val="55669770"/>
    <w:styleLink w:val="StyleBulletedLeft0Hanging03"/>
    <w:lvl w:ilvl="0">
      <w:start w:val="1"/>
      <w:numFmt w:val="bullet"/>
      <w:lvlText w:val="»"/>
      <w:lvlJc w:val="left"/>
      <w:pPr>
        <w:tabs>
          <w:tab w:val="num" w:pos="864"/>
        </w:tabs>
        <w:ind w:left="720" w:hanging="288"/>
      </w:pPr>
      <w:rPr>
        <w:rFonts w:ascii="Palatino Linotype" w:hAnsi="Palatino Linotype"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3DC57A87"/>
    <w:multiLevelType w:val="hybridMultilevel"/>
    <w:tmpl w:val="69A6666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29D514C"/>
    <w:multiLevelType w:val="hybridMultilevel"/>
    <w:tmpl w:val="2AA67D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3097093"/>
    <w:multiLevelType w:val="hybridMultilevel"/>
    <w:tmpl w:val="F4EA4A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4A40AA3"/>
    <w:multiLevelType w:val="hybridMultilevel"/>
    <w:tmpl w:val="91FE46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48982AA5"/>
    <w:multiLevelType w:val="hybridMultilevel"/>
    <w:tmpl w:val="559EE4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9755185"/>
    <w:multiLevelType w:val="hybridMultilevel"/>
    <w:tmpl w:val="34621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D341B7B"/>
    <w:multiLevelType w:val="hybridMultilevel"/>
    <w:tmpl w:val="8AE4DC8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209717A"/>
    <w:multiLevelType w:val="hybridMultilevel"/>
    <w:tmpl w:val="4DC056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BBB6FD0"/>
    <w:multiLevelType w:val="hybridMultilevel"/>
    <w:tmpl w:val="91FE46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D415543"/>
    <w:multiLevelType w:val="hybridMultilevel"/>
    <w:tmpl w:val="55561E3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23D06A9"/>
    <w:multiLevelType w:val="hybridMultilevel"/>
    <w:tmpl w:val="554E1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26917AB"/>
    <w:multiLevelType w:val="multilevel"/>
    <w:tmpl w:val="9B184D2A"/>
    <w:styleLink w:val="Style1"/>
    <w:lvl w:ilvl="0">
      <w:start w:val="1"/>
      <w:numFmt w:val="decimal"/>
      <w:lvlText w:val="Section %1"/>
      <w:lvlJc w:val="left"/>
      <w:pPr>
        <w:tabs>
          <w:tab w:val="num" w:pos="432"/>
        </w:tabs>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9">
    <w:nsid w:val="6D27403C"/>
    <w:multiLevelType w:val="hybridMultilevel"/>
    <w:tmpl w:val="46244E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6F430B8"/>
    <w:multiLevelType w:val="hybridMultilevel"/>
    <w:tmpl w:val="E256C10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85B020F"/>
    <w:multiLevelType w:val="hybridMultilevel"/>
    <w:tmpl w:val="69A6666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0"/>
  </w:num>
  <w:num w:numId="3">
    <w:abstractNumId w:val="5"/>
  </w:num>
  <w:num w:numId="4">
    <w:abstractNumId w:val="5"/>
  </w:num>
  <w:num w:numId="5">
    <w:abstractNumId w:val="3"/>
  </w:num>
  <w:num w:numId="6">
    <w:abstractNumId w:val="6"/>
  </w:num>
  <w:num w:numId="7">
    <w:abstractNumId w:val="16"/>
  </w:num>
  <w:num w:numId="8">
    <w:abstractNumId w:val="23"/>
  </w:num>
  <w:num w:numId="9">
    <w:abstractNumId w:val="26"/>
  </w:num>
  <w:num w:numId="10">
    <w:abstractNumId w:val="38"/>
  </w:num>
  <w:num w:numId="11">
    <w:abstractNumId w:val="12"/>
  </w:num>
  <w:num w:numId="12">
    <w:abstractNumId w:val="35"/>
  </w:num>
  <w:num w:numId="13">
    <w:abstractNumId w:val="40"/>
  </w:num>
  <w:num w:numId="14">
    <w:abstractNumId w:val="17"/>
  </w:num>
  <w:num w:numId="15">
    <w:abstractNumId w:val="2"/>
  </w:num>
  <w:num w:numId="16">
    <w:abstractNumId w:val="31"/>
  </w:num>
  <w:num w:numId="17">
    <w:abstractNumId w:val="30"/>
  </w:num>
  <w:num w:numId="18">
    <w:abstractNumId w:val="13"/>
  </w:num>
  <w:num w:numId="19">
    <w:abstractNumId w:val="21"/>
  </w:num>
  <w:num w:numId="20">
    <w:abstractNumId w:val="1"/>
  </w:num>
  <w:num w:numId="21">
    <w:abstractNumId w:val="34"/>
  </w:num>
  <w:num w:numId="22">
    <w:abstractNumId w:val="10"/>
  </w:num>
  <w:num w:numId="23">
    <w:abstractNumId w:val="20"/>
  </w:num>
  <w:num w:numId="24">
    <w:abstractNumId w:val="33"/>
  </w:num>
  <w:num w:numId="25">
    <w:abstractNumId w:val="29"/>
  </w:num>
  <w:num w:numId="26">
    <w:abstractNumId w:val="36"/>
  </w:num>
  <w:num w:numId="27">
    <w:abstractNumId w:val="7"/>
  </w:num>
  <w:num w:numId="28">
    <w:abstractNumId w:val="11"/>
  </w:num>
  <w:num w:numId="29">
    <w:abstractNumId w:val="27"/>
  </w:num>
  <w:num w:numId="30">
    <w:abstractNumId w:val="18"/>
  </w:num>
  <w:num w:numId="31">
    <w:abstractNumId w:val="41"/>
  </w:num>
  <w:num w:numId="32">
    <w:abstractNumId w:val="24"/>
  </w:num>
  <w:num w:numId="33">
    <w:abstractNumId w:val="19"/>
  </w:num>
  <w:num w:numId="34">
    <w:abstractNumId w:val="39"/>
  </w:num>
  <w:num w:numId="35">
    <w:abstractNumId w:val="9"/>
  </w:num>
  <w:num w:numId="36">
    <w:abstractNumId w:val="28"/>
  </w:num>
  <w:num w:numId="37">
    <w:abstractNumId w:val="14"/>
  </w:num>
  <w:num w:numId="38">
    <w:abstractNumId w:val="15"/>
  </w:num>
  <w:num w:numId="39">
    <w:abstractNumId w:val="8"/>
  </w:num>
  <w:num w:numId="40">
    <w:abstractNumId w:val="25"/>
  </w:num>
  <w:num w:numId="41">
    <w:abstractNumId w:val="22"/>
  </w:num>
  <w:num w:numId="42">
    <w:abstractNumId w:val="32"/>
  </w:num>
  <w:num w:numId="43">
    <w:abstractNumId w:val="37"/>
  </w:num>
  <w:num w:numId="4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removePersonalInformation/>
  <w:removeDateAndTime/>
  <w:hideSpellingErrors/>
  <w:hideGrammaticalErrors/>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0D1A"/>
    <w:rsid w:val="00014E86"/>
    <w:rsid w:val="00020F92"/>
    <w:rsid w:val="0002202D"/>
    <w:rsid w:val="00056A11"/>
    <w:rsid w:val="000766E1"/>
    <w:rsid w:val="00090759"/>
    <w:rsid w:val="000C68E5"/>
    <w:rsid w:val="000D3D35"/>
    <w:rsid w:val="000D7D41"/>
    <w:rsid w:val="000E5847"/>
    <w:rsid w:val="00102464"/>
    <w:rsid w:val="00103919"/>
    <w:rsid w:val="00132A62"/>
    <w:rsid w:val="001345D7"/>
    <w:rsid w:val="001407E0"/>
    <w:rsid w:val="00172CE6"/>
    <w:rsid w:val="001A24C9"/>
    <w:rsid w:val="001B2730"/>
    <w:rsid w:val="001B505E"/>
    <w:rsid w:val="001D2A47"/>
    <w:rsid w:val="001F1F53"/>
    <w:rsid w:val="001F64E0"/>
    <w:rsid w:val="0020613D"/>
    <w:rsid w:val="00233C9D"/>
    <w:rsid w:val="002341CF"/>
    <w:rsid w:val="00252D79"/>
    <w:rsid w:val="002547AD"/>
    <w:rsid w:val="002719C6"/>
    <w:rsid w:val="00281C5C"/>
    <w:rsid w:val="00287571"/>
    <w:rsid w:val="002878D4"/>
    <w:rsid w:val="002A077F"/>
    <w:rsid w:val="002A587A"/>
    <w:rsid w:val="002D7ACF"/>
    <w:rsid w:val="002F1534"/>
    <w:rsid w:val="00310DB7"/>
    <w:rsid w:val="003118F6"/>
    <w:rsid w:val="00341F22"/>
    <w:rsid w:val="00360CBA"/>
    <w:rsid w:val="00372041"/>
    <w:rsid w:val="00374508"/>
    <w:rsid w:val="00375470"/>
    <w:rsid w:val="003B2823"/>
    <w:rsid w:val="003D1AAE"/>
    <w:rsid w:val="003F511B"/>
    <w:rsid w:val="003F7D8F"/>
    <w:rsid w:val="00420D9C"/>
    <w:rsid w:val="00452EB0"/>
    <w:rsid w:val="0047743E"/>
    <w:rsid w:val="0048096E"/>
    <w:rsid w:val="004A1608"/>
    <w:rsid w:val="004B51AE"/>
    <w:rsid w:val="004B77AD"/>
    <w:rsid w:val="00515924"/>
    <w:rsid w:val="005201B3"/>
    <w:rsid w:val="00540929"/>
    <w:rsid w:val="00571DA4"/>
    <w:rsid w:val="0057769F"/>
    <w:rsid w:val="005912EE"/>
    <w:rsid w:val="00597833"/>
    <w:rsid w:val="005C5BA2"/>
    <w:rsid w:val="005D269E"/>
    <w:rsid w:val="005E68EA"/>
    <w:rsid w:val="005E692B"/>
    <w:rsid w:val="005F7CC0"/>
    <w:rsid w:val="00640178"/>
    <w:rsid w:val="00643E0D"/>
    <w:rsid w:val="00645610"/>
    <w:rsid w:val="0067504A"/>
    <w:rsid w:val="006A4718"/>
    <w:rsid w:val="006A51A0"/>
    <w:rsid w:val="006B3B9B"/>
    <w:rsid w:val="006C6203"/>
    <w:rsid w:val="006E0D96"/>
    <w:rsid w:val="0070087F"/>
    <w:rsid w:val="0071211C"/>
    <w:rsid w:val="007144D6"/>
    <w:rsid w:val="00733241"/>
    <w:rsid w:val="00736331"/>
    <w:rsid w:val="00746B41"/>
    <w:rsid w:val="00746D89"/>
    <w:rsid w:val="00762042"/>
    <w:rsid w:val="00775BF6"/>
    <w:rsid w:val="007774CD"/>
    <w:rsid w:val="0078099C"/>
    <w:rsid w:val="00787A3A"/>
    <w:rsid w:val="0079312D"/>
    <w:rsid w:val="007B53AE"/>
    <w:rsid w:val="007C08ED"/>
    <w:rsid w:val="007C165E"/>
    <w:rsid w:val="007C465C"/>
    <w:rsid w:val="007D768C"/>
    <w:rsid w:val="007E1B72"/>
    <w:rsid w:val="007F454C"/>
    <w:rsid w:val="008025A3"/>
    <w:rsid w:val="008170FC"/>
    <w:rsid w:val="008217B5"/>
    <w:rsid w:val="008565B2"/>
    <w:rsid w:val="008667CF"/>
    <w:rsid w:val="0087780C"/>
    <w:rsid w:val="0088462B"/>
    <w:rsid w:val="008F0EFE"/>
    <w:rsid w:val="00900AB1"/>
    <w:rsid w:val="00911EEC"/>
    <w:rsid w:val="009146E8"/>
    <w:rsid w:val="00916662"/>
    <w:rsid w:val="00936CAF"/>
    <w:rsid w:val="00937274"/>
    <w:rsid w:val="00941AF4"/>
    <w:rsid w:val="00951D88"/>
    <w:rsid w:val="0097239C"/>
    <w:rsid w:val="009962CF"/>
    <w:rsid w:val="009C3139"/>
    <w:rsid w:val="009C51C5"/>
    <w:rsid w:val="00A1465C"/>
    <w:rsid w:val="00A26181"/>
    <w:rsid w:val="00A365F1"/>
    <w:rsid w:val="00A52B37"/>
    <w:rsid w:val="00A55BFD"/>
    <w:rsid w:val="00A606DA"/>
    <w:rsid w:val="00A67D76"/>
    <w:rsid w:val="00A73BE9"/>
    <w:rsid w:val="00A8436B"/>
    <w:rsid w:val="00AB30F2"/>
    <w:rsid w:val="00AE0D1A"/>
    <w:rsid w:val="00AF3954"/>
    <w:rsid w:val="00B21ED7"/>
    <w:rsid w:val="00B301EA"/>
    <w:rsid w:val="00B34B4D"/>
    <w:rsid w:val="00B41184"/>
    <w:rsid w:val="00B60B52"/>
    <w:rsid w:val="00B64D61"/>
    <w:rsid w:val="00B70EC1"/>
    <w:rsid w:val="00B71E33"/>
    <w:rsid w:val="00B85066"/>
    <w:rsid w:val="00BC3638"/>
    <w:rsid w:val="00BD122A"/>
    <w:rsid w:val="00BE4592"/>
    <w:rsid w:val="00BF07D1"/>
    <w:rsid w:val="00C0011F"/>
    <w:rsid w:val="00C00E60"/>
    <w:rsid w:val="00C046F4"/>
    <w:rsid w:val="00C04E72"/>
    <w:rsid w:val="00C71AC6"/>
    <w:rsid w:val="00CD7817"/>
    <w:rsid w:val="00CF687B"/>
    <w:rsid w:val="00D2631A"/>
    <w:rsid w:val="00D35BDA"/>
    <w:rsid w:val="00D367FE"/>
    <w:rsid w:val="00D429F3"/>
    <w:rsid w:val="00D449AB"/>
    <w:rsid w:val="00D45B08"/>
    <w:rsid w:val="00D53AAC"/>
    <w:rsid w:val="00D728EF"/>
    <w:rsid w:val="00D75EFA"/>
    <w:rsid w:val="00DA2A6C"/>
    <w:rsid w:val="00DA5446"/>
    <w:rsid w:val="00DB2C13"/>
    <w:rsid w:val="00DC59FB"/>
    <w:rsid w:val="00DC7273"/>
    <w:rsid w:val="00DE0974"/>
    <w:rsid w:val="00DF226B"/>
    <w:rsid w:val="00DF2649"/>
    <w:rsid w:val="00E26807"/>
    <w:rsid w:val="00E35EC8"/>
    <w:rsid w:val="00E522C5"/>
    <w:rsid w:val="00E67B92"/>
    <w:rsid w:val="00E8256E"/>
    <w:rsid w:val="00E96A95"/>
    <w:rsid w:val="00EB5EDF"/>
    <w:rsid w:val="00EC0266"/>
    <w:rsid w:val="00EF7A3A"/>
    <w:rsid w:val="00F84430"/>
    <w:rsid w:val="00F849EB"/>
    <w:rsid w:val="00F85AB1"/>
    <w:rsid w:val="00F85AEC"/>
    <w:rsid w:val="00FA170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12947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6" w:uiPriority="0"/>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header" w:uiPriority="0"/>
    <w:lsdException w:name="index heading" w:uiPriority="0"/>
    <w:lsdException w:name="caption" w:qFormat="1"/>
    <w:lsdException w:name="envelope return" w:uiPriority="0"/>
    <w:lsdException w:name="footnote reference" w:uiPriority="0"/>
    <w:lsdException w:name="macro" w:uiPriority="0"/>
    <w:lsdException w:name="List 4" w:uiPriority="0"/>
    <w:lsdException w:name="List Bullet 3" w:uiPriority="0"/>
    <w:lsdException w:name="List Number 4" w:uiPriority="0"/>
    <w:lsdException w:name="Title" w:semiHidden="0" w:uiPriority="0" w:unhideWhenUsed="0" w:qFormat="1"/>
    <w:lsdException w:name="Closing" w:uiPriority="0"/>
    <w:lsdException w:name="Default Paragraph Font" w:uiPriority="1"/>
    <w:lsdException w:name="Body Text" w:uiPriority="0"/>
    <w:lsdException w:name="Body Text Indent" w:uiPriority="0"/>
    <w:lsdException w:name="Message Header" w:uiPriority="0"/>
    <w:lsdException w:name="Subtitle" w:semiHidden="0" w:uiPriority="0" w:unhideWhenUsed="0" w:qFormat="1"/>
    <w:lsdException w:name="Date" w:uiPriority="0"/>
    <w:lsdException w:name="Body Text First Indent" w:uiPriority="0"/>
    <w:lsdException w:name="Body Text First Indent 2" w:uiPriority="0"/>
    <w:lsdException w:name="Body Text Indent 3" w:uiPriority="0"/>
    <w:lsdException w:name="Block Text" w:uiPriority="0" w:qFormat="1"/>
    <w:lsdException w:name="Strong" w:semiHidden="0" w:uiPriority="22" w:unhideWhenUsed="0" w:qFormat="1"/>
    <w:lsdException w:name="Emphasis" w:semiHidden="0" w:uiPriority="20" w:unhideWhenUsed="0" w:qFormat="1"/>
    <w:lsdException w:name="E-mail Signature" w:uiPriority="0"/>
    <w:lsdException w:name="Normal (Web)" w:uiPriority="0"/>
    <w:lsdException w:name="HTML Code" w:uiPriority="0"/>
    <w:lsdException w:name="HTML Sample" w:uiPriority="0"/>
    <w:lsdException w:name="HTML Typewriter" w:uiPriority="0"/>
    <w:lsdException w:name="annotation subject" w:uiPriority="0"/>
    <w:lsdException w:name="Table Classic 2" w:uiPriority="0"/>
    <w:lsdException w:name="Table List 4" w:uiPriority="0"/>
    <w:lsdException w:name="Table List 7"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E0D1A"/>
    <w:pPr>
      <w:tabs>
        <w:tab w:val="left" w:pos="720"/>
      </w:tabs>
      <w:spacing w:after="0" w:line="240" w:lineRule="auto"/>
    </w:pPr>
    <w:rPr>
      <w:rFonts w:ascii="Palatino Linotype" w:eastAsia="Times New Roman" w:hAnsi="Palatino Linotype" w:cs="Times New Roman"/>
      <w:sz w:val="20"/>
      <w:szCs w:val="24"/>
    </w:rPr>
  </w:style>
  <w:style w:type="paragraph" w:styleId="Heading1">
    <w:name w:val="heading 1"/>
    <w:basedOn w:val="Normal"/>
    <w:next w:val="Normal"/>
    <w:link w:val="Heading1Char"/>
    <w:qFormat/>
    <w:rsid w:val="00AE0D1A"/>
    <w:pPr>
      <w:keepNext/>
      <w:keepLines/>
      <w:numPr>
        <w:numId w:val="1"/>
      </w:numPr>
      <w:pBdr>
        <w:left w:val="single" w:sz="4" w:space="4" w:color="A15F00"/>
      </w:pBdr>
      <w:shd w:val="clear" w:color="auto" w:fill="A15F00"/>
      <w:spacing w:before="360" w:after="360"/>
      <w:outlineLvl w:val="0"/>
    </w:pPr>
    <w:rPr>
      <w:rFonts w:cs="Arial"/>
      <w:b/>
      <w:bCs/>
      <w:color w:val="FFFFFF"/>
      <w:kern w:val="28"/>
      <w:position w:val="6"/>
      <w:sz w:val="24"/>
    </w:rPr>
  </w:style>
  <w:style w:type="paragraph" w:styleId="Heading2">
    <w:name w:val="heading 2"/>
    <w:basedOn w:val="Normal"/>
    <w:next w:val="Normal"/>
    <w:link w:val="Heading2Char"/>
    <w:unhideWhenUsed/>
    <w:qFormat/>
    <w:rsid w:val="00AE0D1A"/>
    <w:pPr>
      <w:keepNext/>
      <w:numPr>
        <w:ilvl w:val="1"/>
        <w:numId w:val="1"/>
      </w:numPr>
      <w:spacing w:before="240" w:after="120"/>
      <w:outlineLvl w:val="1"/>
    </w:pPr>
    <w:rPr>
      <w:rFonts w:cs="Arial"/>
      <w:b/>
      <w:bCs/>
      <w:i/>
      <w:iCs/>
      <w:sz w:val="24"/>
      <w:szCs w:val="28"/>
    </w:rPr>
  </w:style>
  <w:style w:type="paragraph" w:styleId="Heading3">
    <w:name w:val="heading 3"/>
    <w:basedOn w:val="Normal"/>
    <w:next w:val="Normal"/>
    <w:link w:val="Heading3Char"/>
    <w:unhideWhenUsed/>
    <w:qFormat/>
    <w:rsid w:val="00AE0D1A"/>
    <w:pPr>
      <w:keepNext/>
      <w:numPr>
        <w:ilvl w:val="2"/>
        <w:numId w:val="1"/>
      </w:numPr>
      <w:spacing w:before="240" w:after="120"/>
      <w:outlineLvl w:val="2"/>
    </w:pPr>
    <w:rPr>
      <w:rFonts w:cs="Arial"/>
      <w:b/>
      <w:bCs/>
      <w:szCs w:val="26"/>
    </w:rPr>
  </w:style>
  <w:style w:type="paragraph" w:styleId="Heading4">
    <w:name w:val="heading 4"/>
    <w:basedOn w:val="Normal"/>
    <w:next w:val="Normal"/>
    <w:link w:val="Heading4Char"/>
    <w:unhideWhenUsed/>
    <w:qFormat/>
    <w:rsid w:val="00AE0D1A"/>
    <w:pPr>
      <w:keepNext/>
      <w:keepLines/>
      <w:numPr>
        <w:ilvl w:val="3"/>
        <w:numId w:val="1"/>
      </w:numPr>
      <w:spacing w:before="240" w:after="240"/>
      <w:outlineLvl w:val="3"/>
    </w:pPr>
    <w:rPr>
      <w:b/>
      <w:bCs/>
      <w:i/>
      <w:iCs/>
      <w:kern w:val="28"/>
      <w:szCs w:val="20"/>
    </w:rPr>
  </w:style>
  <w:style w:type="paragraph" w:styleId="Heading5">
    <w:name w:val="heading 5"/>
    <w:aliases w:val="Append Level 1"/>
    <w:basedOn w:val="Normal"/>
    <w:next w:val="Normal"/>
    <w:link w:val="Heading5Char"/>
    <w:semiHidden/>
    <w:unhideWhenUsed/>
    <w:qFormat/>
    <w:rsid w:val="00AE0D1A"/>
    <w:pPr>
      <w:keepNext/>
      <w:keepLines/>
      <w:numPr>
        <w:ilvl w:val="4"/>
        <w:numId w:val="1"/>
      </w:numPr>
      <w:pBdr>
        <w:left w:val="single" w:sz="4" w:space="4" w:color="A15F00"/>
      </w:pBdr>
      <w:shd w:val="clear" w:color="auto" w:fill="A15F00"/>
      <w:spacing w:before="360" w:after="360"/>
      <w:outlineLvl w:val="4"/>
    </w:pPr>
    <w:rPr>
      <w:b/>
      <w:color w:val="FFFFFF"/>
      <w:kern w:val="28"/>
      <w:position w:val="6"/>
      <w:sz w:val="24"/>
    </w:rPr>
  </w:style>
  <w:style w:type="paragraph" w:styleId="Heading6">
    <w:name w:val="heading 6"/>
    <w:aliases w:val="Append Level 2"/>
    <w:next w:val="Normal"/>
    <w:link w:val="Heading6Char"/>
    <w:semiHidden/>
    <w:unhideWhenUsed/>
    <w:qFormat/>
    <w:rsid w:val="00AE0D1A"/>
    <w:pPr>
      <w:keepNext/>
      <w:keepLines/>
      <w:numPr>
        <w:ilvl w:val="5"/>
        <w:numId w:val="1"/>
      </w:numPr>
      <w:tabs>
        <w:tab w:val="left" w:pos="720"/>
      </w:tabs>
      <w:spacing w:before="240" w:after="240" w:line="240" w:lineRule="auto"/>
      <w:outlineLvl w:val="5"/>
    </w:pPr>
    <w:rPr>
      <w:rFonts w:ascii="Palatino Linotype" w:eastAsia="Times New Roman" w:hAnsi="Palatino Linotype" w:cs="Times New Roman"/>
      <w:b/>
      <w:i/>
      <w:iCs/>
      <w:kern w:val="28"/>
      <w:position w:val="6"/>
      <w:sz w:val="24"/>
      <w:szCs w:val="24"/>
    </w:rPr>
  </w:style>
  <w:style w:type="paragraph" w:styleId="Heading7">
    <w:name w:val="heading 7"/>
    <w:aliases w:val="Heading 7 ES Head 1"/>
    <w:next w:val="Normal"/>
    <w:link w:val="Heading7Char"/>
    <w:semiHidden/>
    <w:unhideWhenUsed/>
    <w:qFormat/>
    <w:rsid w:val="00AE0D1A"/>
    <w:pPr>
      <w:keepNext/>
      <w:keepLines/>
      <w:pageBreakBefore/>
      <w:pBdr>
        <w:left w:val="single" w:sz="4" w:space="4" w:color="A15F00"/>
      </w:pBdr>
      <w:shd w:val="clear" w:color="auto" w:fill="A15F00"/>
      <w:tabs>
        <w:tab w:val="left" w:pos="720"/>
      </w:tabs>
      <w:spacing w:before="360" w:after="360" w:line="240" w:lineRule="auto"/>
      <w:outlineLvl w:val="6"/>
    </w:pPr>
    <w:rPr>
      <w:rFonts w:ascii="Palatino Linotype" w:eastAsiaTheme="majorEastAsia" w:hAnsi="Palatino Linotype" w:cstheme="majorBidi"/>
      <w:b/>
      <w:bCs/>
      <w:iCs/>
      <w:color w:val="FFFFFF" w:themeColor="background1"/>
      <w:kern w:val="28"/>
      <w:position w:val="6"/>
      <w:sz w:val="24"/>
      <w:szCs w:val="28"/>
    </w:rPr>
  </w:style>
  <w:style w:type="paragraph" w:styleId="Heading8">
    <w:name w:val="heading 8"/>
    <w:aliases w:val="Heading 8 ES Head 2"/>
    <w:basedOn w:val="Normal"/>
    <w:next w:val="Normal"/>
    <w:link w:val="Heading8Char"/>
    <w:semiHidden/>
    <w:unhideWhenUsed/>
    <w:qFormat/>
    <w:rsid w:val="00AE0D1A"/>
    <w:pPr>
      <w:keepNext/>
      <w:keepLines/>
      <w:spacing w:before="240" w:after="120"/>
      <w:outlineLvl w:val="7"/>
    </w:pPr>
    <w:rPr>
      <w:rFonts w:eastAsiaTheme="majorEastAsia" w:cstheme="majorBidi"/>
      <w:b/>
      <w:i/>
      <w:sz w:val="24"/>
      <w:szCs w:val="20"/>
    </w:rPr>
  </w:style>
  <w:style w:type="paragraph" w:styleId="Heading9">
    <w:name w:val="heading 9"/>
    <w:aliases w:val="Heading 9 ES Head 3"/>
    <w:basedOn w:val="Normal"/>
    <w:next w:val="Normal"/>
    <w:link w:val="Heading9Char"/>
    <w:semiHidden/>
    <w:unhideWhenUsed/>
    <w:qFormat/>
    <w:rsid w:val="00AE0D1A"/>
    <w:pPr>
      <w:keepNext/>
      <w:keepLines/>
      <w:spacing w:before="240" w:after="120"/>
      <w:outlineLvl w:val="8"/>
    </w:pPr>
    <w:rPr>
      <w:rFonts w:ascii="Arial Narrow" w:eastAsiaTheme="majorEastAsia" w:hAnsi="Arial Narrow" w:cstheme="majorBidi"/>
      <w:b/>
      <w:iCs/>
      <w:color w:val="A15F0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E0D1A"/>
    <w:rPr>
      <w:rFonts w:ascii="Palatino Linotype" w:eastAsia="Times New Roman" w:hAnsi="Palatino Linotype" w:cs="Arial"/>
      <w:b/>
      <w:bCs/>
      <w:color w:val="FFFFFF"/>
      <w:kern w:val="28"/>
      <w:position w:val="6"/>
      <w:sz w:val="24"/>
      <w:szCs w:val="24"/>
      <w:shd w:val="clear" w:color="auto" w:fill="A15F00"/>
    </w:rPr>
  </w:style>
  <w:style w:type="character" w:customStyle="1" w:styleId="Heading2Char">
    <w:name w:val="Heading 2 Char"/>
    <w:basedOn w:val="DefaultParagraphFont"/>
    <w:link w:val="Heading2"/>
    <w:rsid w:val="00AE0D1A"/>
    <w:rPr>
      <w:rFonts w:ascii="Palatino Linotype" w:eastAsia="Times New Roman" w:hAnsi="Palatino Linotype" w:cs="Arial"/>
      <w:b/>
      <w:bCs/>
      <w:i/>
      <w:iCs/>
      <w:sz w:val="24"/>
      <w:szCs w:val="28"/>
    </w:rPr>
  </w:style>
  <w:style w:type="character" w:customStyle="1" w:styleId="Heading3Char">
    <w:name w:val="Heading 3 Char"/>
    <w:basedOn w:val="DefaultParagraphFont"/>
    <w:link w:val="Heading3"/>
    <w:rsid w:val="00AE0D1A"/>
    <w:rPr>
      <w:rFonts w:ascii="Palatino Linotype" w:eastAsia="Times New Roman" w:hAnsi="Palatino Linotype" w:cs="Arial"/>
      <w:b/>
      <w:bCs/>
      <w:sz w:val="20"/>
      <w:szCs w:val="26"/>
    </w:rPr>
  </w:style>
  <w:style w:type="character" w:customStyle="1" w:styleId="Heading4Char">
    <w:name w:val="Heading 4 Char"/>
    <w:basedOn w:val="DefaultParagraphFont"/>
    <w:link w:val="Heading4"/>
    <w:rsid w:val="00AE0D1A"/>
    <w:rPr>
      <w:rFonts w:ascii="Palatino Linotype" w:eastAsia="Times New Roman" w:hAnsi="Palatino Linotype" w:cs="Times New Roman"/>
      <w:b/>
      <w:bCs/>
      <w:i/>
      <w:iCs/>
      <w:kern w:val="28"/>
      <w:sz w:val="20"/>
      <w:szCs w:val="20"/>
    </w:rPr>
  </w:style>
  <w:style w:type="character" w:customStyle="1" w:styleId="Heading5Char">
    <w:name w:val="Heading 5 Char"/>
    <w:aliases w:val="Append Level 1 Char"/>
    <w:basedOn w:val="DefaultParagraphFont"/>
    <w:link w:val="Heading5"/>
    <w:semiHidden/>
    <w:rsid w:val="00AE0D1A"/>
    <w:rPr>
      <w:rFonts w:ascii="Palatino Linotype" w:eastAsia="Times New Roman" w:hAnsi="Palatino Linotype" w:cs="Times New Roman"/>
      <w:b/>
      <w:color w:val="FFFFFF"/>
      <w:kern w:val="28"/>
      <w:position w:val="6"/>
      <w:sz w:val="24"/>
      <w:szCs w:val="24"/>
      <w:shd w:val="clear" w:color="auto" w:fill="A15F00"/>
    </w:rPr>
  </w:style>
  <w:style w:type="character" w:customStyle="1" w:styleId="Heading6Char">
    <w:name w:val="Heading 6 Char"/>
    <w:aliases w:val="Append Level 2 Char"/>
    <w:basedOn w:val="DefaultParagraphFont"/>
    <w:link w:val="Heading6"/>
    <w:semiHidden/>
    <w:rsid w:val="00AE0D1A"/>
    <w:rPr>
      <w:rFonts w:ascii="Palatino Linotype" w:eastAsia="Times New Roman" w:hAnsi="Palatino Linotype" w:cs="Times New Roman"/>
      <w:b/>
      <w:i/>
      <w:iCs/>
      <w:kern w:val="28"/>
      <w:position w:val="6"/>
      <w:sz w:val="24"/>
      <w:szCs w:val="24"/>
    </w:rPr>
  </w:style>
  <w:style w:type="character" w:customStyle="1" w:styleId="Heading7Char">
    <w:name w:val="Heading 7 Char"/>
    <w:aliases w:val="Heading 7 ES Head 1 Char"/>
    <w:basedOn w:val="DefaultParagraphFont"/>
    <w:link w:val="Heading7"/>
    <w:semiHidden/>
    <w:rsid w:val="00AE0D1A"/>
    <w:rPr>
      <w:rFonts w:ascii="Palatino Linotype" w:eastAsiaTheme="majorEastAsia" w:hAnsi="Palatino Linotype" w:cstheme="majorBidi"/>
      <w:b/>
      <w:bCs/>
      <w:iCs/>
      <w:color w:val="FFFFFF" w:themeColor="background1"/>
      <w:kern w:val="28"/>
      <w:position w:val="6"/>
      <w:sz w:val="24"/>
      <w:szCs w:val="28"/>
      <w:shd w:val="clear" w:color="auto" w:fill="A15F00"/>
    </w:rPr>
  </w:style>
  <w:style w:type="character" w:customStyle="1" w:styleId="Heading8Char">
    <w:name w:val="Heading 8 Char"/>
    <w:aliases w:val="Heading 8 ES Head 2 Char"/>
    <w:basedOn w:val="DefaultParagraphFont"/>
    <w:link w:val="Heading8"/>
    <w:semiHidden/>
    <w:rsid w:val="00AE0D1A"/>
    <w:rPr>
      <w:rFonts w:ascii="Palatino Linotype" w:eastAsiaTheme="majorEastAsia" w:hAnsi="Palatino Linotype" w:cstheme="majorBidi"/>
      <w:b/>
      <w:i/>
      <w:sz w:val="24"/>
      <w:szCs w:val="20"/>
    </w:rPr>
  </w:style>
  <w:style w:type="character" w:customStyle="1" w:styleId="Heading9Char">
    <w:name w:val="Heading 9 Char"/>
    <w:aliases w:val="Heading 9 ES Head 3 Char"/>
    <w:basedOn w:val="DefaultParagraphFont"/>
    <w:link w:val="Heading9"/>
    <w:semiHidden/>
    <w:rsid w:val="00AE0D1A"/>
    <w:rPr>
      <w:rFonts w:ascii="Arial Narrow" w:eastAsiaTheme="majorEastAsia" w:hAnsi="Arial Narrow" w:cstheme="majorBidi"/>
      <w:b/>
      <w:iCs/>
      <w:color w:val="A15F00"/>
      <w:sz w:val="20"/>
      <w:szCs w:val="20"/>
    </w:rPr>
  </w:style>
  <w:style w:type="character" w:styleId="Hyperlink">
    <w:name w:val="Hyperlink"/>
    <w:uiPriority w:val="99"/>
    <w:unhideWhenUsed/>
    <w:rsid w:val="00AE0D1A"/>
    <w:rPr>
      <w:rFonts w:ascii="Palatino Linotype" w:hAnsi="Palatino Linotype" w:hint="default"/>
      <w:color w:val="0000FF"/>
      <w:sz w:val="20"/>
      <w:u w:val="single"/>
    </w:rPr>
  </w:style>
  <w:style w:type="character" w:styleId="FollowedHyperlink">
    <w:name w:val="FollowedHyperlink"/>
    <w:basedOn w:val="DefaultParagraphFont"/>
    <w:uiPriority w:val="99"/>
    <w:semiHidden/>
    <w:unhideWhenUsed/>
    <w:rsid w:val="00AE0D1A"/>
    <w:rPr>
      <w:color w:val="800080" w:themeColor="followedHyperlink"/>
      <w:u w:val="single"/>
    </w:rPr>
  </w:style>
  <w:style w:type="character" w:styleId="HTMLCode">
    <w:name w:val="HTML Code"/>
    <w:basedOn w:val="DefaultParagraphFont"/>
    <w:semiHidden/>
    <w:unhideWhenUsed/>
    <w:rsid w:val="00AE0D1A"/>
    <w:rPr>
      <w:rFonts w:ascii="Consolas" w:eastAsia="Times New Roman" w:hAnsi="Consolas" w:cs="Times New Roman" w:hint="default"/>
      <w:sz w:val="20"/>
      <w:szCs w:val="20"/>
    </w:rPr>
  </w:style>
  <w:style w:type="character" w:customStyle="1" w:styleId="Heading5Char1">
    <w:name w:val="Heading 5 Char1"/>
    <w:aliases w:val="Append Level 1 Char1"/>
    <w:basedOn w:val="DefaultParagraphFont"/>
    <w:semiHidden/>
    <w:rsid w:val="00AE0D1A"/>
    <w:rPr>
      <w:rFonts w:asciiTheme="majorHAnsi" w:eastAsiaTheme="majorEastAsia" w:hAnsiTheme="majorHAnsi" w:cstheme="majorBidi"/>
      <w:color w:val="243F60" w:themeColor="accent1" w:themeShade="7F"/>
      <w:szCs w:val="24"/>
    </w:rPr>
  </w:style>
  <w:style w:type="character" w:customStyle="1" w:styleId="Heading6Char1">
    <w:name w:val="Heading 6 Char1"/>
    <w:aliases w:val="Append Level 2 Char1"/>
    <w:basedOn w:val="DefaultParagraphFont"/>
    <w:semiHidden/>
    <w:rsid w:val="00AE0D1A"/>
    <w:rPr>
      <w:rFonts w:asciiTheme="majorHAnsi" w:eastAsiaTheme="majorEastAsia" w:hAnsiTheme="majorHAnsi" w:cstheme="majorBidi"/>
      <w:i/>
      <w:iCs/>
      <w:color w:val="243F60" w:themeColor="accent1" w:themeShade="7F"/>
      <w:szCs w:val="24"/>
    </w:rPr>
  </w:style>
  <w:style w:type="character" w:styleId="HTMLSample">
    <w:name w:val="HTML Sample"/>
    <w:basedOn w:val="DefaultParagraphFont"/>
    <w:semiHidden/>
    <w:unhideWhenUsed/>
    <w:rsid w:val="00AE0D1A"/>
    <w:rPr>
      <w:rFonts w:ascii="Consolas" w:eastAsia="Times New Roman" w:hAnsi="Consolas" w:cs="Times New Roman" w:hint="default"/>
      <w:sz w:val="24"/>
      <w:szCs w:val="24"/>
    </w:rPr>
  </w:style>
  <w:style w:type="character" w:styleId="HTMLTypewriter">
    <w:name w:val="HTML Typewriter"/>
    <w:basedOn w:val="DefaultParagraphFont"/>
    <w:semiHidden/>
    <w:unhideWhenUsed/>
    <w:rsid w:val="00AE0D1A"/>
    <w:rPr>
      <w:rFonts w:ascii="Consolas" w:eastAsia="Times New Roman" w:hAnsi="Consolas" w:cs="Times New Roman" w:hint="default"/>
      <w:sz w:val="20"/>
      <w:szCs w:val="20"/>
    </w:rPr>
  </w:style>
  <w:style w:type="paragraph" w:styleId="NormalWeb">
    <w:name w:val="Normal (Web)"/>
    <w:basedOn w:val="Normal"/>
    <w:semiHidden/>
    <w:unhideWhenUsed/>
    <w:rsid w:val="00AE0D1A"/>
    <w:pPr>
      <w:tabs>
        <w:tab w:val="left" w:pos="360"/>
        <w:tab w:val="left" w:pos="1080"/>
        <w:tab w:val="left" w:pos="1440"/>
      </w:tabs>
      <w:spacing w:before="240" w:after="240"/>
    </w:pPr>
    <w:rPr>
      <w:rFonts w:ascii="Times New Roman" w:hAnsi="Times New Roman"/>
      <w:sz w:val="24"/>
    </w:rPr>
  </w:style>
  <w:style w:type="character" w:customStyle="1" w:styleId="Heading7Char1">
    <w:name w:val="Heading 7 Char1"/>
    <w:aliases w:val="Heading 7 ES Head 1 Char1"/>
    <w:basedOn w:val="DefaultParagraphFont"/>
    <w:semiHidden/>
    <w:rsid w:val="00AE0D1A"/>
    <w:rPr>
      <w:rFonts w:asciiTheme="majorHAnsi" w:eastAsiaTheme="majorEastAsia" w:hAnsiTheme="majorHAnsi" w:cstheme="majorBidi"/>
      <w:i/>
      <w:iCs/>
      <w:color w:val="404040" w:themeColor="text1" w:themeTint="BF"/>
      <w:szCs w:val="24"/>
    </w:rPr>
  </w:style>
  <w:style w:type="character" w:customStyle="1" w:styleId="Heading8Char1">
    <w:name w:val="Heading 8 Char1"/>
    <w:aliases w:val="Heading 8 ES Head 2 Char1"/>
    <w:basedOn w:val="DefaultParagraphFont"/>
    <w:semiHidden/>
    <w:rsid w:val="00AE0D1A"/>
    <w:rPr>
      <w:rFonts w:asciiTheme="majorHAnsi" w:eastAsiaTheme="majorEastAsia" w:hAnsiTheme="majorHAnsi" w:cstheme="majorBidi"/>
      <w:color w:val="404040" w:themeColor="text1" w:themeTint="BF"/>
    </w:rPr>
  </w:style>
  <w:style w:type="character" w:customStyle="1" w:styleId="Heading9Char1">
    <w:name w:val="Heading 9 Char1"/>
    <w:aliases w:val="Heading 9 ES Head 3 Char1"/>
    <w:basedOn w:val="DefaultParagraphFont"/>
    <w:semiHidden/>
    <w:rsid w:val="00AE0D1A"/>
    <w:rPr>
      <w:rFonts w:asciiTheme="majorHAnsi" w:eastAsiaTheme="majorEastAsia" w:hAnsiTheme="majorHAnsi" w:cstheme="majorBidi"/>
      <w:i/>
      <w:iCs/>
      <w:color w:val="404040" w:themeColor="text1" w:themeTint="BF"/>
    </w:rPr>
  </w:style>
  <w:style w:type="paragraph" w:styleId="Index1">
    <w:name w:val="index 1"/>
    <w:basedOn w:val="Normal"/>
    <w:next w:val="Normal"/>
    <w:autoRedefine/>
    <w:semiHidden/>
    <w:unhideWhenUsed/>
    <w:rsid w:val="00AE0D1A"/>
    <w:pPr>
      <w:ind w:left="220" w:hanging="220"/>
    </w:pPr>
    <w:rPr>
      <w:sz w:val="22"/>
    </w:rPr>
  </w:style>
  <w:style w:type="paragraph" w:styleId="Index2">
    <w:name w:val="index 2"/>
    <w:basedOn w:val="Normal"/>
    <w:next w:val="Normal"/>
    <w:autoRedefine/>
    <w:semiHidden/>
    <w:unhideWhenUsed/>
    <w:rsid w:val="00AE0D1A"/>
    <w:pPr>
      <w:spacing w:after="240"/>
      <w:ind w:left="440" w:hanging="220"/>
    </w:pPr>
    <w:rPr>
      <w:sz w:val="22"/>
    </w:rPr>
  </w:style>
  <w:style w:type="paragraph" w:styleId="Index6">
    <w:name w:val="index 6"/>
    <w:basedOn w:val="Normal"/>
    <w:next w:val="Normal"/>
    <w:autoRedefine/>
    <w:semiHidden/>
    <w:unhideWhenUsed/>
    <w:rsid w:val="00AE0D1A"/>
    <w:pPr>
      <w:ind w:left="1320" w:hanging="220"/>
    </w:pPr>
    <w:rPr>
      <w:sz w:val="22"/>
    </w:rPr>
  </w:style>
  <w:style w:type="paragraph" w:styleId="TOC1">
    <w:name w:val="toc 1"/>
    <w:basedOn w:val="Normal"/>
    <w:next w:val="Normal"/>
    <w:autoRedefine/>
    <w:uiPriority w:val="39"/>
    <w:unhideWhenUsed/>
    <w:rsid w:val="00AE0D1A"/>
    <w:pPr>
      <w:tabs>
        <w:tab w:val="clear" w:pos="720"/>
        <w:tab w:val="left" w:pos="540"/>
        <w:tab w:val="left" w:pos="1620"/>
        <w:tab w:val="right" w:leader="dot" w:pos="9270"/>
      </w:tabs>
      <w:snapToGrid w:val="0"/>
      <w:spacing w:before="120" w:line="360" w:lineRule="auto"/>
      <w:ind w:left="540" w:hanging="540"/>
    </w:pPr>
    <w:rPr>
      <w:b/>
      <w:noProof/>
      <w:sz w:val="24"/>
    </w:rPr>
  </w:style>
  <w:style w:type="paragraph" w:styleId="TOC2">
    <w:name w:val="toc 2"/>
    <w:basedOn w:val="Normal"/>
    <w:next w:val="Normal"/>
    <w:autoRedefine/>
    <w:uiPriority w:val="39"/>
    <w:unhideWhenUsed/>
    <w:rsid w:val="00AE0D1A"/>
    <w:pPr>
      <w:tabs>
        <w:tab w:val="clear" w:pos="720"/>
        <w:tab w:val="left" w:pos="1080"/>
        <w:tab w:val="right" w:leader="dot" w:pos="9278"/>
      </w:tabs>
      <w:ind w:left="1080" w:hanging="540"/>
    </w:pPr>
    <w:rPr>
      <w:noProof/>
    </w:rPr>
  </w:style>
  <w:style w:type="paragraph" w:styleId="TOC3">
    <w:name w:val="toc 3"/>
    <w:basedOn w:val="Normal"/>
    <w:next w:val="Normal"/>
    <w:autoRedefine/>
    <w:uiPriority w:val="39"/>
    <w:unhideWhenUsed/>
    <w:rsid w:val="00AE0D1A"/>
    <w:pPr>
      <w:tabs>
        <w:tab w:val="clear" w:pos="720"/>
        <w:tab w:val="left" w:pos="1800"/>
        <w:tab w:val="right" w:leader="dot" w:pos="9278"/>
      </w:tabs>
      <w:ind w:left="1800" w:hanging="720"/>
    </w:pPr>
    <w:rPr>
      <w:noProof/>
      <w:szCs w:val="20"/>
    </w:rPr>
  </w:style>
  <w:style w:type="paragraph" w:styleId="TOC4">
    <w:name w:val="toc 4"/>
    <w:basedOn w:val="Normal"/>
    <w:next w:val="Normal"/>
    <w:autoRedefine/>
    <w:uiPriority w:val="39"/>
    <w:unhideWhenUsed/>
    <w:rsid w:val="00AE0D1A"/>
    <w:pPr>
      <w:tabs>
        <w:tab w:val="clear" w:pos="720"/>
        <w:tab w:val="left" w:pos="2700"/>
        <w:tab w:val="right" w:leader="dot" w:pos="9278"/>
      </w:tabs>
      <w:spacing w:after="100"/>
      <w:ind w:left="2700" w:hanging="900"/>
    </w:pPr>
    <w:rPr>
      <w:i/>
      <w:noProof/>
    </w:rPr>
  </w:style>
  <w:style w:type="paragraph" w:styleId="TOC5">
    <w:name w:val="toc 5"/>
    <w:basedOn w:val="Normal"/>
    <w:next w:val="Normal"/>
    <w:autoRedefine/>
    <w:semiHidden/>
    <w:unhideWhenUsed/>
    <w:rsid w:val="00AE0D1A"/>
    <w:pPr>
      <w:spacing w:before="240" w:after="240"/>
      <w:ind w:left="800"/>
    </w:pPr>
    <w:rPr>
      <w:sz w:val="22"/>
    </w:rPr>
  </w:style>
  <w:style w:type="paragraph" w:styleId="TOC6">
    <w:name w:val="toc 6"/>
    <w:basedOn w:val="Normal"/>
    <w:next w:val="Normal"/>
    <w:autoRedefine/>
    <w:semiHidden/>
    <w:unhideWhenUsed/>
    <w:rsid w:val="00AE0D1A"/>
    <w:pPr>
      <w:spacing w:before="240" w:after="240"/>
      <w:ind w:left="1000"/>
    </w:pPr>
    <w:rPr>
      <w:sz w:val="22"/>
    </w:rPr>
  </w:style>
  <w:style w:type="paragraph" w:styleId="TOC7">
    <w:name w:val="toc 7"/>
    <w:basedOn w:val="Normal"/>
    <w:next w:val="Normal"/>
    <w:autoRedefine/>
    <w:semiHidden/>
    <w:unhideWhenUsed/>
    <w:rsid w:val="00AE0D1A"/>
    <w:pPr>
      <w:spacing w:before="240" w:after="240"/>
      <w:ind w:left="1200"/>
    </w:pPr>
    <w:rPr>
      <w:sz w:val="22"/>
    </w:rPr>
  </w:style>
  <w:style w:type="paragraph" w:styleId="TOC8">
    <w:name w:val="toc 8"/>
    <w:basedOn w:val="Normal"/>
    <w:next w:val="Normal"/>
    <w:autoRedefine/>
    <w:semiHidden/>
    <w:unhideWhenUsed/>
    <w:rsid w:val="00AE0D1A"/>
    <w:pPr>
      <w:spacing w:before="240" w:after="240"/>
      <w:ind w:left="1400"/>
    </w:pPr>
    <w:rPr>
      <w:sz w:val="22"/>
    </w:rPr>
  </w:style>
  <w:style w:type="paragraph" w:styleId="TOC9">
    <w:name w:val="toc 9"/>
    <w:basedOn w:val="Normal"/>
    <w:next w:val="Normal"/>
    <w:autoRedefine/>
    <w:semiHidden/>
    <w:unhideWhenUsed/>
    <w:rsid w:val="00AE0D1A"/>
    <w:pPr>
      <w:spacing w:before="240" w:after="240"/>
      <w:ind w:left="1600"/>
    </w:pPr>
    <w:rPr>
      <w:sz w:val="22"/>
    </w:rPr>
  </w:style>
  <w:style w:type="paragraph" w:styleId="NormalIndent">
    <w:name w:val="Normal Indent"/>
    <w:basedOn w:val="Normal"/>
    <w:semiHidden/>
    <w:unhideWhenUsed/>
    <w:rsid w:val="00AE0D1A"/>
    <w:pPr>
      <w:tabs>
        <w:tab w:val="left" w:pos="360"/>
        <w:tab w:val="left" w:pos="1080"/>
        <w:tab w:val="left" w:pos="1440"/>
      </w:tabs>
      <w:spacing w:before="240" w:after="240"/>
      <w:ind w:left="720"/>
    </w:pPr>
    <w:rPr>
      <w:sz w:val="22"/>
    </w:rPr>
  </w:style>
  <w:style w:type="paragraph" w:styleId="FootnoteText">
    <w:name w:val="footnote text"/>
    <w:basedOn w:val="Normal"/>
    <w:link w:val="FootnoteTextChar"/>
    <w:semiHidden/>
    <w:unhideWhenUsed/>
    <w:rsid w:val="00AE0D1A"/>
    <w:rPr>
      <w:sz w:val="18"/>
      <w:szCs w:val="20"/>
    </w:rPr>
  </w:style>
  <w:style w:type="character" w:customStyle="1" w:styleId="FootnoteTextChar">
    <w:name w:val="Footnote Text Char"/>
    <w:basedOn w:val="DefaultParagraphFont"/>
    <w:link w:val="FootnoteText"/>
    <w:semiHidden/>
    <w:rsid w:val="00AE0D1A"/>
    <w:rPr>
      <w:rFonts w:ascii="Palatino Linotype" w:eastAsia="Times New Roman" w:hAnsi="Palatino Linotype" w:cs="Times New Roman"/>
      <w:sz w:val="18"/>
      <w:szCs w:val="20"/>
    </w:rPr>
  </w:style>
  <w:style w:type="paragraph" w:styleId="CommentText">
    <w:name w:val="annotation text"/>
    <w:basedOn w:val="Normal"/>
    <w:link w:val="CommentTextChar"/>
    <w:uiPriority w:val="99"/>
    <w:semiHidden/>
    <w:unhideWhenUsed/>
    <w:rsid w:val="00AE0D1A"/>
    <w:rPr>
      <w:szCs w:val="20"/>
    </w:rPr>
  </w:style>
  <w:style w:type="character" w:customStyle="1" w:styleId="CommentTextChar">
    <w:name w:val="Comment Text Char"/>
    <w:basedOn w:val="DefaultParagraphFont"/>
    <w:link w:val="CommentText"/>
    <w:uiPriority w:val="99"/>
    <w:semiHidden/>
    <w:rsid w:val="00AE0D1A"/>
    <w:rPr>
      <w:rFonts w:ascii="Palatino Linotype" w:eastAsia="Times New Roman" w:hAnsi="Palatino Linotype" w:cs="Times New Roman"/>
      <w:sz w:val="20"/>
      <w:szCs w:val="20"/>
    </w:rPr>
  </w:style>
  <w:style w:type="paragraph" w:styleId="Header">
    <w:name w:val="header"/>
    <w:basedOn w:val="Normal"/>
    <w:link w:val="HeaderChar"/>
    <w:unhideWhenUsed/>
    <w:rsid w:val="00AE0D1A"/>
    <w:pPr>
      <w:tabs>
        <w:tab w:val="clear" w:pos="720"/>
        <w:tab w:val="center" w:pos="4320"/>
        <w:tab w:val="right" w:pos="8640"/>
      </w:tabs>
    </w:pPr>
  </w:style>
  <w:style w:type="character" w:customStyle="1" w:styleId="HeaderChar">
    <w:name w:val="Header Char"/>
    <w:basedOn w:val="DefaultParagraphFont"/>
    <w:link w:val="Header"/>
    <w:rsid w:val="00AE0D1A"/>
    <w:rPr>
      <w:rFonts w:ascii="Palatino Linotype" w:eastAsia="Times New Roman" w:hAnsi="Palatino Linotype" w:cs="Times New Roman"/>
      <w:sz w:val="20"/>
      <w:szCs w:val="24"/>
    </w:rPr>
  </w:style>
  <w:style w:type="paragraph" w:styleId="Footer">
    <w:name w:val="footer"/>
    <w:basedOn w:val="Normal"/>
    <w:link w:val="FooterChar"/>
    <w:uiPriority w:val="99"/>
    <w:unhideWhenUsed/>
    <w:rsid w:val="00AE0D1A"/>
    <w:pPr>
      <w:tabs>
        <w:tab w:val="clear" w:pos="720"/>
        <w:tab w:val="center" w:pos="4320"/>
        <w:tab w:val="right" w:pos="8640"/>
      </w:tabs>
    </w:pPr>
    <w:rPr>
      <w:rFonts w:ascii="Arial Narrow" w:hAnsi="Arial Narrow"/>
      <w:color w:val="6F6754"/>
      <w:sz w:val="18"/>
    </w:rPr>
  </w:style>
  <w:style w:type="character" w:customStyle="1" w:styleId="FooterChar">
    <w:name w:val="Footer Char"/>
    <w:basedOn w:val="DefaultParagraphFont"/>
    <w:link w:val="Footer"/>
    <w:uiPriority w:val="99"/>
    <w:rsid w:val="00AE0D1A"/>
    <w:rPr>
      <w:rFonts w:ascii="Arial Narrow" w:eastAsia="Times New Roman" w:hAnsi="Arial Narrow" w:cs="Times New Roman"/>
      <w:color w:val="6F6754"/>
      <w:sz w:val="18"/>
      <w:szCs w:val="24"/>
    </w:rPr>
  </w:style>
  <w:style w:type="paragraph" w:styleId="IndexHeading">
    <w:name w:val="index heading"/>
    <w:basedOn w:val="Normal"/>
    <w:next w:val="Index1"/>
    <w:semiHidden/>
    <w:unhideWhenUsed/>
    <w:rsid w:val="00AE0D1A"/>
    <w:pPr>
      <w:tabs>
        <w:tab w:val="left" w:pos="360"/>
        <w:tab w:val="left" w:pos="1080"/>
        <w:tab w:val="left" w:pos="1440"/>
      </w:tabs>
      <w:spacing w:before="240" w:after="240"/>
    </w:pPr>
    <w:rPr>
      <w:rFonts w:asciiTheme="majorHAnsi" w:eastAsiaTheme="majorEastAsia" w:hAnsiTheme="majorHAnsi" w:cstheme="majorBidi"/>
      <w:b/>
      <w:bCs/>
      <w:sz w:val="22"/>
    </w:rPr>
  </w:style>
  <w:style w:type="character" w:customStyle="1" w:styleId="CaptionChar">
    <w:name w:val="Caption Char"/>
    <w:aliases w:val="Table Caption Char"/>
    <w:link w:val="Caption"/>
    <w:uiPriority w:val="99"/>
    <w:locked/>
    <w:rsid w:val="00A8436B"/>
    <w:rPr>
      <w:rFonts w:ascii="Palatino Linotype" w:hAnsi="Palatino Linotype"/>
      <w:b/>
      <w:bCs/>
      <w:color w:val="993300"/>
      <w:sz w:val="20"/>
    </w:rPr>
  </w:style>
  <w:style w:type="paragraph" w:styleId="Caption">
    <w:name w:val="caption"/>
    <w:aliases w:val="Table Caption"/>
    <w:basedOn w:val="Normal"/>
    <w:next w:val="Normal"/>
    <w:link w:val="CaptionChar"/>
    <w:uiPriority w:val="99"/>
    <w:unhideWhenUsed/>
    <w:qFormat/>
    <w:rsid w:val="00A8436B"/>
    <w:pPr>
      <w:keepNext/>
      <w:spacing w:after="120"/>
      <w:jc w:val="center"/>
    </w:pPr>
    <w:rPr>
      <w:rFonts w:eastAsiaTheme="minorHAnsi" w:cstheme="minorBidi"/>
      <w:b/>
      <w:bCs/>
      <w:color w:val="993300"/>
      <w:szCs w:val="22"/>
    </w:rPr>
  </w:style>
  <w:style w:type="paragraph" w:styleId="TableofFigures">
    <w:name w:val="table of figures"/>
    <w:basedOn w:val="Normal"/>
    <w:next w:val="Normal"/>
    <w:uiPriority w:val="99"/>
    <w:unhideWhenUsed/>
    <w:rsid w:val="00AE0D1A"/>
    <w:pPr>
      <w:tabs>
        <w:tab w:val="clear" w:pos="720"/>
        <w:tab w:val="right" w:leader="dot" w:pos="9274"/>
      </w:tabs>
    </w:pPr>
  </w:style>
  <w:style w:type="paragraph" w:styleId="EnvelopeReturn">
    <w:name w:val="envelope return"/>
    <w:basedOn w:val="Normal"/>
    <w:semiHidden/>
    <w:unhideWhenUsed/>
    <w:rsid w:val="00AE0D1A"/>
    <w:pPr>
      <w:tabs>
        <w:tab w:val="left" w:pos="360"/>
        <w:tab w:val="left" w:pos="1080"/>
        <w:tab w:val="left" w:pos="1440"/>
      </w:tabs>
    </w:pPr>
    <w:rPr>
      <w:rFonts w:asciiTheme="majorHAnsi" w:eastAsiaTheme="majorEastAsia" w:hAnsiTheme="majorHAnsi" w:cstheme="majorBidi"/>
      <w:szCs w:val="20"/>
    </w:rPr>
  </w:style>
  <w:style w:type="paragraph" w:styleId="MacroText">
    <w:name w:val="macro"/>
    <w:link w:val="MacroTextChar"/>
    <w:semiHidden/>
    <w:unhideWhenUsed/>
    <w:rsid w:val="00AE0D1A"/>
    <w:pPr>
      <w:tabs>
        <w:tab w:val="left" w:pos="480"/>
        <w:tab w:val="left" w:pos="960"/>
        <w:tab w:val="left" w:pos="1440"/>
        <w:tab w:val="left" w:pos="1920"/>
        <w:tab w:val="left" w:pos="2400"/>
        <w:tab w:val="left" w:pos="2880"/>
        <w:tab w:val="left" w:pos="3360"/>
        <w:tab w:val="left" w:pos="3840"/>
        <w:tab w:val="left" w:pos="4320"/>
      </w:tabs>
      <w:spacing w:before="240" w:after="0" w:line="240" w:lineRule="auto"/>
    </w:pPr>
    <w:rPr>
      <w:rFonts w:ascii="Consolas" w:eastAsia="Times New Roman" w:hAnsi="Consolas" w:cs="Times New Roman"/>
      <w:sz w:val="20"/>
      <w:szCs w:val="20"/>
    </w:rPr>
  </w:style>
  <w:style w:type="character" w:customStyle="1" w:styleId="MacroTextChar">
    <w:name w:val="Macro Text Char"/>
    <w:basedOn w:val="DefaultParagraphFont"/>
    <w:link w:val="MacroText"/>
    <w:semiHidden/>
    <w:rsid w:val="00AE0D1A"/>
    <w:rPr>
      <w:rFonts w:ascii="Consolas" w:eastAsia="Times New Roman" w:hAnsi="Consolas" w:cs="Times New Roman"/>
      <w:sz w:val="20"/>
      <w:szCs w:val="20"/>
    </w:rPr>
  </w:style>
  <w:style w:type="paragraph" w:styleId="List4">
    <w:name w:val="List 4"/>
    <w:basedOn w:val="Normal"/>
    <w:semiHidden/>
    <w:unhideWhenUsed/>
    <w:rsid w:val="00AE0D1A"/>
    <w:pPr>
      <w:tabs>
        <w:tab w:val="left" w:pos="360"/>
        <w:tab w:val="left" w:pos="1080"/>
        <w:tab w:val="left" w:pos="1440"/>
      </w:tabs>
      <w:spacing w:before="240" w:after="240"/>
      <w:ind w:left="1440" w:hanging="360"/>
      <w:contextualSpacing/>
    </w:pPr>
    <w:rPr>
      <w:sz w:val="22"/>
    </w:rPr>
  </w:style>
  <w:style w:type="paragraph" w:styleId="ListBullet3">
    <w:name w:val="List Bullet 3"/>
    <w:basedOn w:val="Normal"/>
    <w:semiHidden/>
    <w:unhideWhenUsed/>
    <w:rsid w:val="00AE0D1A"/>
    <w:pPr>
      <w:tabs>
        <w:tab w:val="left" w:pos="360"/>
        <w:tab w:val="num" w:pos="1080"/>
        <w:tab w:val="left" w:pos="1440"/>
      </w:tabs>
      <w:spacing w:before="240" w:after="240"/>
      <w:ind w:left="1080" w:hanging="360"/>
      <w:contextualSpacing/>
    </w:pPr>
    <w:rPr>
      <w:sz w:val="22"/>
    </w:rPr>
  </w:style>
  <w:style w:type="paragraph" w:styleId="ListNumber4">
    <w:name w:val="List Number 4"/>
    <w:basedOn w:val="Normal"/>
    <w:semiHidden/>
    <w:unhideWhenUsed/>
    <w:rsid w:val="00AE0D1A"/>
    <w:pPr>
      <w:tabs>
        <w:tab w:val="left" w:pos="360"/>
        <w:tab w:val="left" w:pos="1080"/>
        <w:tab w:val="num" w:pos="1440"/>
      </w:tabs>
      <w:spacing w:before="240" w:after="240"/>
      <w:ind w:left="1440" w:hanging="360"/>
      <w:contextualSpacing/>
    </w:pPr>
    <w:rPr>
      <w:sz w:val="22"/>
    </w:rPr>
  </w:style>
  <w:style w:type="paragraph" w:styleId="Title">
    <w:name w:val="Title"/>
    <w:basedOn w:val="Normal"/>
    <w:link w:val="TitleChar"/>
    <w:qFormat/>
    <w:rsid w:val="00AE0D1A"/>
    <w:pPr>
      <w:tabs>
        <w:tab w:val="left" w:pos="360"/>
        <w:tab w:val="left" w:pos="1080"/>
        <w:tab w:val="left" w:pos="1440"/>
      </w:tabs>
    </w:pPr>
    <w:rPr>
      <w:b/>
      <w:bCs/>
      <w:color w:val="6F6754"/>
      <w:sz w:val="36"/>
    </w:rPr>
  </w:style>
  <w:style w:type="character" w:customStyle="1" w:styleId="TitleChar">
    <w:name w:val="Title Char"/>
    <w:basedOn w:val="DefaultParagraphFont"/>
    <w:link w:val="Title"/>
    <w:rsid w:val="00AE0D1A"/>
    <w:rPr>
      <w:rFonts w:ascii="Palatino Linotype" w:eastAsia="Times New Roman" w:hAnsi="Palatino Linotype" w:cs="Times New Roman"/>
      <w:b/>
      <w:bCs/>
      <w:color w:val="6F6754"/>
      <w:sz w:val="36"/>
      <w:szCs w:val="24"/>
    </w:rPr>
  </w:style>
  <w:style w:type="paragraph" w:styleId="Closing">
    <w:name w:val="Closing"/>
    <w:basedOn w:val="Normal"/>
    <w:link w:val="ClosingChar"/>
    <w:semiHidden/>
    <w:unhideWhenUsed/>
    <w:rsid w:val="00AE0D1A"/>
    <w:pPr>
      <w:tabs>
        <w:tab w:val="left" w:pos="360"/>
        <w:tab w:val="left" w:pos="1080"/>
        <w:tab w:val="left" w:pos="1440"/>
      </w:tabs>
      <w:ind w:left="4320"/>
    </w:pPr>
    <w:rPr>
      <w:sz w:val="22"/>
    </w:rPr>
  </w:style>
  <w:style w:type="character" w:customStyle="1" w:styleId="ClosingChar">
    <w:name w:val="Closing Char"/>
    <w:basedOn w:val="DefaultParagraphFont"/>
    <w:link w:val="Closing"/>
    <w:semiHidden/>
    <w:rsid w:val="00AE0D1A"/>
    <w:rPr>
      <w:rFonts w:ascii="Palatino Linotype" w:eastAsia="Times New Roman" w:hAnsi="Palatino Linotype" w:cs="Times New Roman"/>
      <w:szCs w:val="24"/>
    </w:rPr>
  </w:style>
  <w:style w:type="paragraph" w:styleId="BodyText">
    <w:name w:val="Body Text"/>
    <w:basedOn w:val="Normal"/>
    <w:link w:val="BodyTextChar"/>
    <w:semiHidden/>
    <w:unhideWhenUsed/>
    <w:rsid w:val="00AE0D1A"/>
    <w:pPr>
      <w:tabs>
        <w:tab w:val="left" w:pos="360"/>
        <w:tab w:val="left" w:pos="1080"/>
        <w:tab w:val="left" w:pos="1440"/>
      </w:tabs>
      <w:spacing w:before="240" w:after="120"/>
    </w:pPr>
    <w:rPr>
      <w:sz w:val="22"/>
    </w:rPr>
  </w:style>
  <w:style w:type="character" w:customStyle="1" w:styleId="BodyTextChar">
    <w:name w:val="Body Text Char"/>
    <w:basedOn w:val="DefaultParagraphFont"/>
    <w:link w:val="BodyText"/>
    <w:semiHidden/>
    <w:rsid w:val="00AE0D1A"/>
    <w:rPr>
      <w:rFonts w:ascii="Palatino Linotype" w:eastAsia="Times New Roman" w:hAnsi="Palatino Linotype" w:cs="Times New Roman"/>
      <w:szCs w:val="24"/>
    </w:rPr>
  </w:style>
  <w:style w:type="paragraph" w:styleId="BodyTextIndent">
    <w:name w:val="Body Text Indent"/>
    <w:basedOn w:val="Normal"/>
    <w:link w:val="BodyTextIndentChar"/>
    <w:semiHidden/>
    <w:unhideWhenUsed/>
    <w:rsid w:val="00AE0D1A"/>
    <w:pPr>
      <w:tabs>
        <w:tab w:val="left" w:pos="360"/>
        <w:tab w:val="left" w:pos="1080"/>
        <w:tab w:val="left" w:pos="1440"/>
      </w:tabs>
      <w:spacing w:before="240" w:after="120"/>
      <w:ind w:left="360"/>
    </w:pPr>
    <w:rPr>
      <w:sz w:val="22"/>
    </w:rPr>
  </w:style>
  <w:style w:type="character" w:customStyle="1" w:styleId="BodyTextIndentChar">
    <w:name w:val="Body Text Indent Char"/>
    <w:basedOn w:val="DefaultParagraphFont"/>
    <w:link w:val="BodyTextIndent"/>
    <w:semiHidden/>
    <w:rsid w:val="00AE0D1A"/>
    <w:rPr>
      <w:rFonts w:ascii="Palatino Linotype" w:eastAsia="Times New Roman" w:hAnsi="Palatino Linotype" w:cs="Times New Roman"/>
      <w:szCs w:val="24"/>
    </w:rPr>
  </w:style>
  <w:style w:type="paragraph" w:styleId="MessageHeader">
    <w:name w:val="Message Header"/>
    <w:basedOn w:val="Normal"/>
    <w:link w:val="MessageHeaderChar"/>
    <w:semiHidden/>
    <w:unhideWhenUsed/>
    <w:rsid w:val="00AE0D1A"/>
    <w:pPr>
      <w:pBdr>
        <w:top w:val="single" w:sz="6" w:space="1" w:color="auto"/>
        <w:left w:val="single" w:sz="6" w:space="1" w:color="auto"/>
        <w:bottom w:val="single" w:sz="6" w:space="1" w:color="auto"/>
        <w:right w:val="single" w:sz="6" w:space="1" w:color="auto"/>
      </w:pBdr>
      <w:shd w:val="pct20" w:color="auto" w:fill="auto"/>
      <w:tabs>
        <w:tab w:val="left" w:pos="360"/>
        <w:tab w:val="left" w:pos="1080"/>
        <w:tab w:val="left" w:pos="1440"/>
      </w:tabs>
      <w:ind w:left="1080" w:hanging="1080"/>
    </w:pPr>
    <w:rPr>
      <w:rFonts w:asciiTheme="majorHAnsi" w:eastAsiaTheme="majorEastAsia" w:hAnsiTheme="majorHAnsi" w:cstheme="majorBidi"/>
      <w:sz w:val="24"/>
    </w:rPr>
  </w:style>
  <w:style w:type="character" w:customStyle="1" w:styleId="MessageHeaderChar">
    <w:name w:val="Message Header Char"/>
    <w:basedOn w:val="DefaultParagraphFont"/>
    <w:link w:val="MessageHeader"/>
    <w:semiHidden/>
    <w:rsid w:val="00AE0D1A"/>
    <w:rPr>
      <w:rFonts w:asciiTheme="majorHAnsi" w:eastAsiaTheme="majorEastAsia" w:hAnsiTheme="majorHAnsi" w:cstheme="majorBidi"/>
      <w:sz w:val="24"/>
      <w:szCs w:val="24"/>
      <w:shd w:val="pct20" w:color="auto" w:fill="auto"/>
    </w:rPr>
  </w:style>
  <w:style w:type="paragraph" w:styleId="Subtitle">
    <w:name w:val="Subtitle"/>
    <w:basedOn w:val="Normal"/>
    <w:link w:val="SubtitleChar"/>
    <w:qFormat/>
    <w:rsid w:val="00AE0D1A"/>
    <w:pPr>
      <w:tabs>
        <w:tab w:val="left" w:pos="360"/>
        <w:tab w:val="left" w:pos="1080"/>
        <w:tab w:val="left" w:pos="1440"/>
      </w:tabs>
    </w:pPr>
    <w:rPr>
      <w:b/>
      <w:bCs/>
      <w:color w:val="6F6754"/>
      <w:sz w:val="24"/>
    </w:rPr>
  </w:style>
  <w:style w:type="character" w:customStyle="1" w:styleId="SubtitleChar">
    <w:name w:val="Subtitle Char"/>
    <w:basedOn w:val="DefaultParagraphFont"/>
    <w:link w:val="Subtitle"/>
    <w:rsid w:val="00AE0D1A"/>
    <w:rPr>
      <w:rFonts w:ascii="Palatino Linotype" w:eastAsia="Times New Roman" w:hAnsi="Palatino Linotype" w:cs="Times New Roman"/>
      <w:b/>
      <w:bCs/>
      <w:color w:val="6F6754"/>
      <w:sz w:val="24"/>
      <w:szCs w:val="24"/>
    </w:rPr>
  </w:style>
  <w:style w:type="paragraph" w:styleId="Date">
    <w:name w:val="Date"/>
    <w:basedOn w:val="Heading4"/>
    <w:next w:val="Normal"/>
    <w:link w:val="DateChar"/>
    <w:semiHidden/>
    <w:unhideWhenUsed/>
    <w:rsid w:val="00AE0D1A"/>
    <w:pPr>
      <w:keepLines w:val="0"/>
      <w:numPr>
        <w:ilvl w:val="0"/>
        <w:numId w:val="0"/>
      </w:numPr>
      <w:tabs>
        <w:tab w:val="left" w:pos="360"/>
        <w:tab w:val="left" w:pos="1080"/>
        <w:tab w:val="left" w:pos="1440"/>
        <w:tab w:val="left" w:pos="2160"/>
        <w:tab w:val="left" w:pos="2520"/>
        <w:tab w:val="left" w:pos="2880"/>
        <w:tab w:val="left" w:pos="3240"/>
        <w:tab w:val="left" w:pos="3600"/>
        <w:tab w:val="right" w:pos="7200"/>
      </w:tabs>
      <w:spacing w:before="220"/>
    </w:pPr>
    <w:rPr>
      <w:i w:val="0"/>
      <w:iCs w:val="0"/>
      <w:color w:val="6F6754"/>
      <w:kern w:val="0"/>
      <w:sz w:val="24"/>
      <w:szCs w:val="22"/>
    </w:rPr>
  </w:style>
  <w:style w:type="character" w:customStyle="1" w:styleId="DateChar">
    <w:name w:val="Date Char"/>
    <w:basedOn w:val="DefaultParagraphFont"/>
    <w:link w:val="Date"/>
    <w:semiHidden/>
    <w:rsid w:val="00AE0D1A"/>
    <w:rPr>
      <w:rFonts w:ascii="Palatino Linotype" w:eastAsia="Times New Roman" w:hAnsi="Palatino Linotype" w:cs="Times New Roman"/>
      <w:b/>
      <w:bCs/>
      <w:color w:val="6F6754"/>
      <w:sz w:val="24"/>
    </w:rPr>
  </w:style>
  <w:style w:type="paragraph" w:styleId="BodyTextFirstIndent">
    <w:name w:val="Body Text First Indent"/>
    <w:basedOn w:val="BodyText"/>
    <w:link w:val="BodyTextFirstIndentChar"/>
    <w:semiHidden/>
    <w:unhideWhenUsed/>
    <w:rsid w:val="00AE0D1A"/>
    <w:pPr>
      <w:spacing w:after="240"/>
      <w:ind w:firstLine="360"/>
    </w:pPr>
  </w:style>
  <w:style w:type="character" w:customStyle="1" w:styleId="BodyTextFirstIndentChar">
    <w:name w:val="Body Text First Indent Char"/>
    <w:basedOn w:val="BodyTextChar"/>
    <w:link w:val="BodyTextFirstIndent"/>
    <w:semiHidden/>
    <w:rsid w:val="00AE0D1A"/>
    <w:rPr>
      <w:rFonts w:ascii="Palatino Linotype" w:eastAsia="Times New Roman" w:hAnsi="Palatino Linotype" w:cs="Times New Roman"/>
      <w:szCs w:val="24"/>
    </w:rPr>
  </w:style>
  <w:style w:type="paragraph" w:styleId="BodyTextFirstIndent2">
    <w:name w:val="Body Text First Indent 2"/>
    <w:basedOn w:val="BodyTextIndent"/>
    <w:link w:val="BodyTextFirstIndent2Char"/>
    <w:semiHidden/>
    <w:unhideWhenUsed/>
    <w:rsid w:val="00AE0D1A"/>
    <w:pPr>
      <w:spacing w:after="240"/>
      <w:ind w:firstLine="360"/>
    </w:pPr>
  </w:style>
  <w:style w:type="character" w:customStyle="1" w:styleId="BodyTextFirstIndent2Char">
    <w:name w:val="Body Text First Indent 2 Char"/>
    <w:basedOn w:val="BodyTextIndentChar"/>
    <w:link w:val="BodyTextFirstIndent2"/>
    <w:semiHidden/>
    <w:rsid w:val="00AE0D1A"/>
    <w:rPr>
      <w:rFonts w:ascii="Palatino Linotype" w:eastAsia="Times New Roman" w:hAnsi="Palatino Linotype" w:cs="Times New Roman"/>
      <w:szCs w:val="24"/>
    </w:rPr>
  </w:style>
  <w:style w:type="paragraph" w:styleId="BodyTextIndent3">
    <w:name w:val="Body Text Indent 3"/>
    <w:basedOn w:val="Normal"/>
    <w:link w:val="BodyTextIndent3Char"/>
    <w:semiHidden/>
    <w:unhideWhenUsed/>
    <w:rsid w:val="00AE0D1A"/>
    <w:pPr>
      <w:tabs>
        <w:tab w:val="left" w:pos="360"/>
        <w:tab w:val="left" w:pos="1080"/>
        <w:tab w:val="left" w:pos="1440"/>
      </w:tabs>
      <w:spacing w:before="240" w:after="120"/>
      <w:ind w:left="360"/>
    </w:pPr>
    <w:rPr>
      <w:sz w:val="16"/>
      <w:szCs w:val="16"/>
    </w:rPr>
  </w:style>
  <w:style w:type="character" w:customStyle="1" w:styleId="BodyTextIndent3Char">
    <w:name w:val="Body Text Indent 3 Char"/>
    <w:basedOn w:val="DefaultParagraphFont"/>
    <w:link w:val="BodyTextIndent3"/>
    <w:semiHidden/>
    <w:rsid w:val="00AE0D1A"/>
    <w:rPr>
      <w:rFonts w:ascii="Palatino Linotype" w:eastAsia="Times New Roman" w:hAnsi="Palatino Linotype" w:cs="Times New Roman"/>
      <w:sz w:val="16"/>
      <w:szCs w:val="16"/>
    </w:rPr>
  </w:style>
  <w:style w:type="paragraph" w:styleId="BlockText">
    <w:name w:val="Block Text"/>
    <w:basedOn w:val="Normal"/>
    <w:semiHidden/>
    <w:unhideWhenUsed/>
    <w:qFormat/>
    <w:rsid w:val="00AE0D1A"/>
    <w:pPr>
      <w:pBdr>
        <w:top w:val="single" w:sz="2" w:space="10" w:color="4F81BD" w:themeColor="accent1"/>
        <w:left w:val="single" w:sz="2" w:space="10" w:color="4F81BD" w:themeColor="accent1"/>
        <w:bottom w:val="single" w:sz="2" w:space="10" w:color="4F81BD" w:themeColor="accent1"/>
        <w:right w:val="single" w:sz="2" w:space="10" w:color="4F81BD" w:themeColor="accent1"/>
      </w:pBdr>
      <w:tabs>
        <w:tab w:val="left" w:pos="360"/>
        <w:tab w:val="left" w:pos="1080"/>
        <w:tab w:val="left" w:pos="1440"/>
      </w:tabs>
      <w:spacing w:before="240" w:after="240"/>
      <w:ind w:left="1152" w:right="1152"/>
    </w:pPr>
    <w:rPr>
      <w:rFonts w:asciiTheme="minorHAnsi" w:eastAsiaTheme="minorEastAsia" w:hAnsiTheme="minorHAnsi" w:cstheme="minorBidi"/>
      <w:i/>
      <w:iCs/>
      <w:color w:val="4F81BD" w:themeColor="accent1"/>
      <w:sz w:val="22"/>
    </w:rPr>
  </w:style>
  <w:style w:type="paragraph" w:styleId="PlainText">
    <w:name w:val="Plain Text"/>
    <w:basedOn w:val="Normal"/>
    <w:link w:val="PlainTextChar"/>
    <w:uiPriority w:val="99"/>
    <w:semiHidden/>
    <w:unhideWhenUsed/>
    <w:rsid w:val="00AE0D1A"/>
    <w:rPr>
      <w:rFonts w:ascii="Consolas" w:eastAsia="Calibri" w:hAnsi="Consolas"/>
      <w:sz w:val="21"/>
      <w:szCs w:val="21"/>
    </w:rPr>
  </w:style>
  <w:style w:type="character" w:customStyle="1" w:styleId="PlainTextChar">
    <w:name w:val="Plain Text Char"/>
    <w:basedOn w:val="DefaultParagraphFont"/>
    <w:link w:val="PlainText"/>
    <w:uiPriority w:val="99"/>
    <w:semiHidden/>
    <w:rsid w:val="00AE0D1A"/>
    <w:rPr>
      <w:rFonts w:ascii="Consolas" w:eastAsia="Calibri" w:hAnsi="Consolas" w:cs="Times New Roman"/>
      <w:sz w:val="21"/>
      <w:szCs w:val="21"/>
    </w:rPr>
  </w:style>
  <w:style w:type="paragraph" w:styleId="E-mailSignature">
    <w:name w:val="E-mail Signature"/>
    <w:basedOn w:val="Normal"/>
    <w:link w:val="E-mailSignatureChar"/>
    <w:semiHidden/>
    <w:unhideWhenUsed/>
    <w:rsid w:val="00AE0D1A"/>
    <w:pPr>
      <w:tabs>
        <w:tab w:val="left" w:pos="360"/>
        <w:tab w:val="left" w:pos="1080"/>
        <w:tab w:val="left" w:pos="1440"/>
      </w:tabs>
    </w:pPr>
    <w:rPr>
      <w:sz w:val="22"/>
    </w:rPr>
  </w:style>
  <w:style w:type="character" w:customStyle="1" w:styleId="E-mailSignatureChar">
    <w:name w:val="E-mail Signature Char"/>
    <w:basedOn w:val="DefaultParagraphFont"/>
    <w:link w:val="E-mailSignature"/>
    <w:semiHidden/>
    <w:rsid w:val="00AE0D1A"/>
    <w:rPr>
      <w:rFonts w:ascii="Palatino Linotype" w:eastAsia="Times New Roman" w:hAnsi="Palatino Linotype" w:cs="Times New Roman"/>
      <w:szCs w:val="24"/>
    </w:rPr>
  </w:style>
  <w:style w:type="paragraph" w:styleId="CommentSubject">
    <w:name w:val="annotation subject"/>
    <w:basedOn w:val="CommentText"/>
    <w:next w:val="CommentText"/>
    <w:link w:val="CommentSubjectChar"/>
    <w:semiHidden/>
    <w:unhideWhenUsed/>
    <w:rsid w:val="00AE0D1A"/>
    <w:rPr>
      <w:b/>
      <w:bCs/>
    </w:rPr>
  </w:style>
  <w:style w:type="character" w:customStyle="1" w:styleId="CommentSubjectChar">
    <w:name w:val="Comment Subject Char"/>
    <w:basedOn w:val="CommentTextChar"/>
    <w:link w:val="CommentSubject"/>
    <w:semiHidden/>
    <w:rsid w:val="00AE0D1A"/>
    <w:rPr>
      <w:rFonts w:ascii="Palatino Linotype" w:eastAsia="Times New Roman" w:hAnsi="Palatino Linotype" w:cs="Times New Roman"/>
      <w:b/>
      <w:bCs/>
      <w:sz w:val="20"/>
      <w:szCs w:val="20"/>
    </w:rPr>
  </w:style>
  <w:style w:type="paragraph" w:styleId="BalloonText">
    <w:name w:val="Balloon Text"/>
    <w:basedOn w:val="Normal"/>
    <w:link w:val="BalloonTextChar"/>
    <w:semiHidden/>
    <w:unhideWhenUsed/>
    <w:rsid w:val="00AE0D1A"/>
    <w:rPr>
      <w:rFonts w:ascii="Tahoma" w:hAnsi="Tahoma" w:cs="Tahoma"/>
      <w:sz w:val="16"/>
      <w:szCs w:val="16"/>
    </w:rPr>
  </w:style>
  <w:style w:type="character" w:customStyle="1" w:styleId="BalloonTextChar">
    <w:name w:val="Balloon Text Char"/>
    <w:basedOn w:val="DefaultParagraphFont"/>
    <w:link w:val="BalloonText"/>
    <w:semiHidden/>
    <w:rsid w:val="00AE0D1A"/>
    <w:rPr>
      <w:rFonts w:ascii="Tahoma" w:eastAsia="Times New Roman" w:hAnsi="Tahoma" w:cs="Tahoma"/>
      <w:sz w:val="16"/>
      <w:szCs w:val="16"/>
    </w:rPr>
  </w:style>
  <w:style w:type="paragraph" w:styleId="Revision">
    <w:name w:val="Revision"/>
    <w:uiPriority w:val="99"/>
    <w:semiHidden/>
    <w:rsid w:val="00AE0D1A"/>
    <w:pPr>
      <w:tabs>
        <w:tab w:val="left" w:pos="720"/>
      </w:tabs>
      <w:spacing w:after="0" w:line="240" w:lineRule="auto"/>
    </w:pPr>
    <w:rPr>
      <w:rFonts w:ascii="Palatino Linotype" w:eastAsia="Times New Roman" w:hAnsi="Palatino Linotype" w:cs="Times New Roman"/>
      <w:sz w:val="20"/>
      <w:szCs w:val="24"/>
    </w:rPr>
  </w:style>
  <w:style w:type="character" w:customStyle="1" w:styleId="ListParagraphChar">
    <w:name w:val="List Paragraph Char"/>
    <w:aliases w:val="TOC etc. Char"/>
    <w:link w:val="ListParagraph"/>
    <w:uiPriority w:val="34"/>
    <w:locked/>
    <w:rsid w:val="00AE0D1A"/>
    <w:rPr>
      <w:rFonts w:ascii="Palatino Linotype" w:hAnsi="Palatino Linotype"/>
      <w:szCs w:val="24"/>
    </w:rPr>
  </w:style>
  <w:style w:type="paragraph" w:styleId="ListParagraph">
    <w:name w:val="List Paragraph"/>
    <w:aliases w:val="TOC etc."/>
    <w:basedOn w:val="Normal"/>
    <w:link w:val="ListParagraphChar"/>
    <w:uiPriority w:val="34"/>
    <w:qFormat/>
    <w:rsid w:val="00AE0D1A"/>
    <w:pPr>
      <w:ind w:left="720"/>
      <w:contextualSpacing/>
    </w:pPr>
    <w:rPr>
      <w:rFonts w:eastAsiaTheme="minorHAnsi" w:cstheme="minorBidi"/>
      <w:sz w:val="22"/>
    </w:rPr>
  </w:style>
  <w:style w:type="character" w:customStyle="1" w:styleId="TOCHeadingChar">
    <w:name w:val="TOC Heading Char"/>
    <w:link w:val="TOCHeading"/>
    <w:uiPriority w:val="39"/>
    <w:semiHidden/>
    <w:locked/>
    <w:rsid w:val="00AE0D1A"/>
    <w:rPr>
      <w:rFonts w:ascii="Palatino Linotype" w:hAnsi="Palatino Linotype"/>
      <w:b/>
      <w:color w:val="FFFFFF"/>
      <w:kern w:val="28"/>
      <w:position w:val="6"/>
      <w:sz w:val="24"/>
      <w:szCs w:val="24"/>
      <w:shd w:val="clear" w:color="auto" w:fill="B55F00"/>
    </w:rPr>
  </w:style>
  <w:style w:type="paragraph" w:styleId="TOCHeading">
    <w:name w:val="TOC Heading"/>
    <w:next w:val="Normal"/>
    <w:link w:val="TOCHeadingChar"/>
    <w:uiPriority w:val="39"/>
    <w:semiHidden/>
    <w:unhideWhenUsed/>
    <w:qFormat/>
    <w:rsid w:val="00AE0D1A"/>
    <w:pPr>
      <w:keepNext/>
      <w:keepLines/>
      <w:pageBreakBefore/>
      <w:widowControl w:val="0"/>
      <w:shd w:val="clear" w:color="auto" w:fill="B55F00"/>
      <w:tabs>
        <w:tab w:val="left" w:pos="720"/>
        <w:tab w:val="left" w:pos="1267"/>
      </w:tabs>
      <w:spacing w:before="360" w:after="360" w:line="240" w:lineRule="auto"/>
      <w:ind w:left="720" w:hanging="720"/>
    </w:pPr>
    <w:rPr>
      <w:rFonts w:ascii="Palatino Linotype" w:hAnsi="Palatino Linotype"/>
      <w:b/>
      <w:color w:val="FFFFFF"/>
      <w:kern w:val="28"/>
      <w:position w:val="6"/>
      <w:sz w:val="24"/>
      <w:szCs w:val="24"/>
    </w:rPr>
  </w:style>
  <w:style w:type="paragraph" w:customStyle="1" w:styleId="StyleCaptionWhite">
    <w:name w:val="Style Caption + White"/>
    <w:basedOn w:val="Caption"/>
    <w:rsid w:val="00AE0D1A"/>
    <w:pPr>
      <w:spacing w:before="120"/>
    </w:pPr>
    <w:rPr>
      <w:color w:val="FFFFFF"/>
    </w:rPr>
  </w:style>
  <w:style w:type="character" w:customStyle="1" w:styleId="ExecSummaryHead1Char">
    <w:name w:val="Exec Summary Head 1 Char"/>
    <w:link w:val="ExecSummaryHead1"/>
    <w:locked/>
    <w:rsid w:val="00AE0D1A"/>
    <w:rPr>
      <w:rFonts w:ascii="Palatino Linotype" w:hAnsi="Palatino Linotype"/>
      <w:b/>
      <w:color w:val="FFFFFF"/>
      <w:kern w:val="28"/>
      <w:position w:val="6"/>
      <w:sz w:val="24"/>
      <w:szCs w:val="24"/>
      <w:shd w:val="clear" w:color="auto" w:fill="B55F00"/>
    </w:rPr>
  </w:style>
  <w:style w:type="paragraph" w:customStyle="1" w:styleId="ExecSummaryHead1">
    <w:name w:val="Exec Summary Head 1"/>
    <w:basedOn w:val="TOCHeading"/>
    <w:next w:val="Normal"/>
    <w:link w:val="ExecSummaryHead1Char"/>
    <w:qFormat/>
    <w:rsid w:val="00AE0D1A"/>
  </w:style>
  <w:style w:type="paragraph" w:customStyle="1" w:styleId="Bullet0">
    <w:name w:val="Bullet 0"/>
    <w:basedOn w:val="Normal"/>
    <w:autoRedefine/>
    <w:rsid w:val="00AE0D1A"/>
    <w:pPr>
      <w:tabs>
        <w:tab w:val="clear" w:pos="720"/>
        <w:tab w:val="num" w:pos="972"/>
      </w:tabs>
      <w:ind w:left="979" w:hanging="432"/>
    </w:pPr>
    <w:rPr>
      <w:sz w:val="22"/>
    </w:rPr>
  </w:style>
  <w:style w:type="character" w:customStyle="1" w:styleId="PresentedByChar">
    <w:name w:val="Presented By Char"/>
    <w:link w:val="PresentedBy"/>
    <w:locked/>
    <w:rsid w:val="00AE0D1A"/>
    <w:rPr>
      <w:rFonts w:ascii="Palatino Linotype" w:hAnsi="Palatino Linotype"/>
      <w:color w:val="6F6754"/>
      <w:szCs w:val="24"/>
    </w:rPr>
  </w:style>
  <w:style w:type="paragraph" w:customStyle="1" w:styleId="PresentedBy">
    <w:name w:val="Presented By"/>
    <w:basedOn w:val="Normal"/>
    <w:link w:val="PresentedByChar"/>
    <w:rsid w:val="00AE0D1A"/>
    <w:pPr>
      <w:tabs>
        <w:tab w:val="left" w:pos="360"/>
        <w:tab w:val="left" w:pos="1080"/>
        <w:tab w:val="left" w:pos="1440"/>
      </w:tabs>
    </w:pPr>
    <w:rPr>
      <w:rFonts w:eastAsiaTheme="minorHAnsi" w:cstheme="minorBidi"/>
      <w:color w:val="6F6754"/>
      <w:sz w:val="22"/>
    </w:rPr>
  </w:style>
  <w:style w:type="character" w:customStyle="1" w:styleId="TitlePage1Char">
    <w:name w:val="Title Page 1 Char"/>
    <w:link w:val="TitlePage1"/>
    <w:locked/>
    <w:rsid w:val="00AE0D1A"/>
    <w:rPr>
      <w:rFonts w:ascii="Palatino Linotype" w:hAnsi="Palatino Linotype"/>
      <w:b/>
      <w:bCs/>
      <w:color w:val="6F6754"/>
      <w:sz w:val="36"/>
      <w:szCs w:val="24"/>
    </w:rPr>
  </w:style>
  <w:style w:type="paragraph" w:customStyle="1" w:styleId="TitlePage1">
    <w:name w:val="Title Page 1"/>
    <w:basedOn w:val="Normal"/>
    <w:link w:val="TitlePage1Char"/>
    <w:qFormat/>
    <w:rsid w:val="00AE0D1A"/>
    <w:pPr>
      <w:tabs>
        <w:tab w:val="left" w:pos="360"/>
        <w:tab w:val="left" w:pos="1080"/>
        <w:tab w:val="left" w:pos="1440"/>
      </w:tabs>
    </w:pPr>
    <w:rPr>
      <w:rFonts w:eastAsiaTheme="minorHAnsi" w:cstheme="minorBidi"/>
      <w:b/>
      <w:bCs/>
      <w:color w:val="6F6754"/>
      <w:sz w:val="36"/>
    </w:rPr>
  </w:style>
  <w:style w:type="character" w:customStyle="1" w:styleId="TitlePage2Char">
    <w:name w:val="Title Page 2 Char"/>
    <w:link w:val="TitlePage2"/>
    <w:locked/>
    <w:rsid w:val="00AE0D1A"/>
    <w:rPr>
      <w:rFonts w:ascii="Palatino Linotype" w:hAnsi="Palatino Linotype"/>
      <w:b/>
      <w:bCs/>
      <w:color w:val="6F6754"/>
      <w:sz w:val="28"/>
      <w:szCs w:val="28"/>
    </w:rPr>
  </w:style>
  <w:style w:type="paragraph" w:customStyle="1" w:styleId="TitlePage2">
    <w:name w:val="Title Page 2"/>
    <w:basedOn w:val="Normal"/>
    <w:link w:val="TitlePage2Char"/>
    <w:qFormat/>
    <w:rsid w:val="00AE0D1A"/>
    <w:pPr>
      <w:tabs>
        <w:tab w:val="left" w:pos="360"/>
        <w:tab w:val="left" w:pos="1080"/>
        <w:tab w:val="left" w:pos="1440"/>
      </w:tabs>
    </w:pPr>
    <w:rPr>
      <w:rFonts w:eastAsiaTheme="minorHAnsi" w:cstheme="minorBidi"/>
      <w:b/>
      <w:bCs/>
      <w:color w:val="6F6754"/>
      <w:sz w:val="28"/>
      <w:szCs w:val="28"/>
    </w:rPr>
  </w:style>
  <w:style w:type="paragraph" w:customStyle="1" w:styleId="Contactinfo">
    <w:name w:val="Contact info"/>
    <w:basedOn w:val="Normal"/>
    <w:uiPriority w:val="99"/>
    <w:rsid w:val="00AE0D1A"/>
    <w:rPr>
      <w:sz w:val="22"/>
    </w:rPr>
  </w:style>
  <w:style w:type="paragraph" w:customStyle="1" w:styleId="Bullet-ItalicIndent">
    <w:name w:val="Bullet - Italic Indent"/>
    <w:basedOn w:val="Normal"/>
    <w:rsid w:val="00AE0D1A"/>
    <w:pPr>
      <w:numPr>
        <w:numId w:val="2"/>
      </w:numPr>
      <w:tabs>
        <w:tab w:val="left" w:pos="360"/>
        <w:tab w:val="left" w:pos="1080"/>
        <w:tab w:val="left" w:pos="1440"/>
        <w:tab w:val="left" w:pos="1800"/>
        <w:tab w:val="left" w:pos="2160"/>
        <w:tab w:val="left" w:pos="2520"/>
        <w:tab w:val="left" w:pos="2880"/>
        <w:tab w:val="left" w:pos="3240"/>
        <w:tab w:val="left" w:pos="3600"/>
      </w:tabs>
      <w:spacing w:after="120" w:line="213" w:lineRule="auto"/>
      <w:jc w:val="both"/>
    </w:pPr>
    <w:rPr>
      <w:rFonts w:ascii="Arial Narrow" w:hAnsi="Arial Narrow"/>
      <w:noProof/>
      <w:sz w:val="22"/>
    </w:rPr>
  </w:style>
  <w:style w:type="paragraph" w:customStyle="1" w:styleId="TableofContents">
    <w:name w:val="Table of Contents"/>
    <w:basedOn w:val="Normal"/>
    <w:rsid w:val="00AE0D1A"/>
    <w:pPr>
      <w:shd w:val="pct20" w:color="auto" w:fill="FFFFFF"/>
      <w:tabs>
        <w:tab w:val="left" w:pos="-1440"/>
        <w:tab w:val="left" w:pos="-720"/>
        <w:tab w:val="left" w:pos="0"/>
        <w:tab w:val="left" w:pos="360"/>
        <w:tab w:val="left" w:pos="1080"/>
        <w:tab w:val="left" w:pos="1440"/>
        <w:tab w:val="left" w:pos="1800"/>
        <w:tab w:val="left" w:pos="2160"/>
        <w:tab w:val="left" w:pos="2520"/>
        <w:tab w:val="left" w:pos="2880"/>
        <w:tab w:val="left" w:pos="3240"/>
        <w:tab w:val="left" w:pos="3600"/>
        <w:tab w:val="right" w:pos="3690"/>
        <w:tab w:val="left" w:pos="4590"/>
        <w:tab w:val="left" w:pos="5760"/>
      </w:tabs>
      <w:spacing w:before="240" w:after="240"/>
    </w:pPr>
    <w:rPr>
      <w:rFonts w:ascii="Lucida Sans Unicode" w:hAnsi="Lucida Sans Unicode"/>
      <w:b/>
      <w:smallCaps/>
      <w:color w:val="000000"/>
      <w:sz w:val="36"/>
    </w:rPr>
  </w:style>
  <w:style w:type="paragraph" w:customStyle="1" w:styleId="StyleInsideAddressPalatinoLinotype10pt">
    <w:name w:val="Style Inside Address + Palatino Linotype 10 pt"/>
    <w:basedOn w:val="Normal"/>
    <w:rsid w:val="00AE0D1A"/>
    <w:pPr>
      <w:tabs>
        <w:tab w:val="left" w:pos="360"/>
        <w:tab w:val="left" w:pos="1080"/>
        <w:tab w:val="left" w:pos="1440"/>
        <w:tab w:val="left" w:pos="1800"/>
        <w:tab w:val="left" w:pos="2160"/>
        <w:tab w:val="left" w:pos="2520"/>
        <w:tab w:val="left" w:pos="2880"/>
        <w:tab w:val="left" w:pos="3240"/>
        <w:tab w:val="left" w:pos="3600"/>
      </w:tabs>
      <w:spacing w:before="240" w:after="240"/>
      <w:jc w:val="both"/>
    </w:pPr>
    <w:rPr>
      <w:kern w:val="24"/>
      <w:sz w:val="22"/>
      <w:szCs w:val="20"/>
    </w:rPr>
  </w:style>
  <w:style w:type="paragraph" w:customStyle="1" w:styleId="MemoFrame">
    <w:name w:val="Memo Frame"/>
    <w:basedOn w:val="Normal"/>
    <w:rsid w:val="00AE0D1A"/>
    <w:pPr>
      <w:tabs>
        <w:tab w:val="left" w:pos="360"/>
        <w:tab w:val="left" w:pos="1080"/>
        <w:tab w:val="left" w:pos="1440"/>
      </w:tabs>
      <w:spacing w:before="240" w:after="240"/>
    </w:pPr>
    <w:rPr>
      <w:rFonts w:ascii="Arial Narrow" w:hAnsi="Arial Narrow"/>
      <w:b/>
      <w:sz w:val="22"/>
    </w:rPr>
  </w:style>
  <w:style w:type="paragraph" w:customStyle="1" w:styleId="SectionTitle">
    <w:name w:val="Section Title"/>
    <w:basedOn w:val="Normal"/>
    <w:rsid w:val="00AE0D1A"/>
    <w:pPr>
      <w:tabs>
        <w:tab w:val="clear" w:pos="720"/>
        <w:tab w:val="left" w:pos="1267"/>
        <w:tab w:val="left" w:pos="1627"/>
      </w:tabs>
      <w:spacing w:before="240" w:after="240"/>
      <w:ind w:left="1627" w:hanging="1627"/>
    </w:pPr>
    <w:rPr>
      <w:b/>
      <w:sz w:val="24"/>
    </w:rPr>
  </w:style>
  <w:style w:type="paragraph" w:customStyle="1" w:styleId="ResumeHeading1">
    <w:name w:val="Resume Heading 1"/>
    <w:basedOn w:val="Normal"/>
    <w:autoRedefine/>
    <w:rsid w:val="00AE0D1A"/>
    <w:pPr>
      <w:tabs>
        <w:tab w:val="left" w:pos="360"/>
        <w:tab w:val="left" w:pos="1080"/>
        <w:tab w:val="left" w:pos="1440"/>
      </w:tabs>
      <w:spacing w:before="240" w:after="240"/>
    </w:pPr>
    <w:rPr>
      <w:b/>
      <w:sz w:val="24"/>
    </w:rPr>
  </w:style>
  <w:style w:type="paragraph" w:customStyle="1" w:styleId="ResumeName">
    <w:name w:val="Resume Name"/>
    <w:basedOn w:val="Title"/>
    <w:rsid w:val="00AE0D1A"/>
    <w:pPr>
      <w:widowControl w:val="0"/>
      <w:tabs>
        <w:tab w:val="clear" w:pos="360"/>
        <w:tab w:val="clear" w:pos="1080"/>
        <w:tab w:val="clear" w:pos="1440"/>
      </w:tabs>
      <w:snapToGrid w:val="0"/>
    </w:pPr>
    <w:rPr>
      <w:rFonts w:ascii="Times New Roman" w:hAnsi="Times New Roman"/>
      <w:bCs w:val="0"/>
      <w:color w:val="auto"/>
      <w:sz w:val="32"/>
      <w:szCs w:val="20"/>
    </w:rPr>
  </w:style>
  <w:style w:type="paragraph" w:customStyle="1" w:styleId="Publications">
    <w:name w:val="Publications"/>
    <w:basedOn w:val="Normal"/>
    <w:rsid w:val="00AE0D1A"/>
    <w:pPr>
      <w:tabs>
        <w:tab w:val="left" w:pos="360"/>
        <w:tab w:val="left" w:pos="1080"/>
        <w:tab w:val="left" w:pos="1440"/>
      </w:tabs>
      <w:spacing w:before="240" w:after="240"/>
      <w:ind w:left="720" w:hanging="720"/>
      <w:jc w:val="both"/>
    </w:pPr>
    <w:rPr>
      <w:sz w:val="22"/>
      <w:u w:val="single"/>
    </w:rPr>
  </w:style>
  <w:style w:type="paragraph" w:customStyle="1" w:styleId="TOCTitle">
    <w:name w:val="TOC Title"/>
    <w:basedOn w:val="Normal"/>
    <w:autoRedefine/>
    <w:qFormat/>
    <w:rsid w:val="00AE0D1A"/>
    <w:pPr>
      <w:tabs>
        <w:tab w:val="left" w:pos="360"/>
        <w:tab w:val="left" w:pos="1080"/>
        <w:tab w:val="left" w:pos="1440"/>
      </w:tabs>
      <w:spacing w:before="240" w:after="240"/>
    </w:pPr>
    <w:rPr>
      <w:b/>
      <w:sz w:val="24"/>
    </w:rPr>
  </w:style>
  <w:style w:type="paragraph" w:customStyle="1" w:styleId="Bullet-Short">
    <w:name w:val="Bullet - Short"/>
    <w:basedOn w:val="Bullet0"/>
    <w:autoRedefine/>
    <w:qFormat/>
    <w:rsid w:val="00951D88"/>
    <w:pPr>
      <w:numPr>
        <w:numId w:val="3"/>
      </w:numPr>
      <w:spacing w:before="120" w:after="240"/>
      <w:ind w:left="979"/>
    </w:pPr>
    <w:rPr>
      <w:sz w:val="20"/>
    </w:rPr>
  </w:style>
  <w:style w:type="paragraph" w:customStyle="1" w:styleId="Bullets">
    <w:name w:val="Bullets"/>
    <w:basedOn w:val="Normal"/>
    <w:rsid w:val="00AE0D1A"/>
    <w:pPr>
      <w:numPr>
        <w:numId w:val="5"/>
      </w:numPr>
      <w:tabs>
        <w:tab w:val="clear" w:pos="720"/>
      </w:tabs>
      <w:spacing w:before="240"/>
    </w:pPr>
    <w:rPr>
      <w:rFonts w:ascii="Times New Roman" w:hAnsi="Times New Roman"/>
      <w:sz w:val="22"/>
      <w:szCs w:val="22"/>
    </w:rPr>
  </w:style>
  <w:style w:type="character" w:styleId="FootnoteReference">
    <w:name w:val="footnote reference"/>
    <w:semiHidden/>
    <w:unhideWhenUsed/>
    <w:rsid w:val="00AE0D1A"/>
    <w:rPr>
      <w:vertAlign w:val="superscript"/>
    </w:rPr>
  </w:style>
  <w:style w:type="character" w:styleId="CommentReference">
    <w:name w:val="annotation reference"/>
    <w:uiPriority w:val="99"/>
    <w:semiHidden/>
    <w:unhideWhenUsed/>
    <w:rsid w:val="00AE0D1A"/>
    <w:rPr>
      <w:sz w:val="16"/>
      <w:szCs w:val="16"/>
    </w:rPr>
  </w:style>
  <w:style w:type="character" w:styleId="PlaceholderText">
    <w:name w:val="Placeholder Text"/>
    <w:uiPriority w:val="99"/>
    <w:semiHidden/>
    <w:rsid w:val="00AE0D1A"/>
    <w:rPr>
      <w:color w:val="808080"/>
    </w:rPr>
  </w:style>
  <w:style w:type="character" w:styleId="SubtleEmphasis">
    <w:name w:val="Subtle Emphasis"/>
    <w:basedOn w:val="DefaultParagraphFont"/>
    <w:uiPriority w:val="19"/>
    <w:qFormat/>
    <w:rsid w:val="00AE0D1A"/>
    <w:rPr>
      <w:i/>
      <w:iCs/>
      <w:color w:val="808080" w:themeColor="text1" w:themeTint="7F"/>
    </w:rPr>
  </w:style>
  <w:style w:type="character" w:customStyle="1" w:styleId="CoverText">
    <w:name w:val="Cover Text"/>
    <w:rsid w:val="00AE0D1A"/>
    <w:rPr>
      <w:color w:val="6F6754"/>
    </w:rPr>
  </w:style>
  <w:style w:type="character" w:customStyle="1" w:styleId="acicollapsed1">
    <w:name w:val="acicollapsed1"/>
    <w:rsid w:val="00AE0D1A"/>
    <w:rPr>
      <w:vanish/>
      <w:webHidden w:val="0"/>
      <w:specVanish/>
    </w:rPr>
  </w:style>
  <w:style w:type="table" w:styleId="TableClassic2">
    <w:name w:val="Table Classic 2"/>
    <w:basedOn w:val="TableNormal"/>
    <w:semiHidden/>
    <w:unhideWhenUsed/>
    <w:rsid w:val="00AE0D1A"/>
    <w:pPr>
      <w:tabs>
        <w:tab w:val="left" w:pos="360"/>
        <w:tab w:val="left" w:pos="720"/>
        <w:tab w:val="left" w:pos="1080"/>
        <w:tab w:val="left" w:pos="1440"/>
      </w:tabs>
      <w:spacing w:after="0" w:line="240" w:lineRule="auto"/>
    </w:pPr>
    <w:rPr>
      <w:rFonts w:ascii="Arial" w:eastAsia="Times New Roman" w:hAnsi="Arial" w:cs="Times New Roman"/>
      <w:sz w:val="18"/>
      <w:szCs w:val="18"/>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15" w:type="dxa"/>
        <w:bottom w:w="0" w:type="dxa"/>
        <w:right w:w="115" w:type="dxa"/>
      </w:tblCellMar>
    </w:tblPr>
    <w:tblStylePr w:type="firstRow">
      <w:rPr>
        <w:rFonts w:ascii="Arial" w:hAnsi="Arial" w:cs="Arial" w:hint="default"/>
        <w:b/>
        <w:i w:val="0"/>
        <w:color w:val="auto"/>
        <w:sz w:val="18"/>
        <w:szCs w:val="18"/>
      </w:rPr>
      <w:tblPr/>
      <w:tcPr>
        <w:tcBorders>
          <w:top w:val="single" w:sz="6" w:space="0" w:color="000000"/>
          <w:left w:val="single" w:sz="6" w:space="0" w:color="000000"/>
          <w:bottom w:val="single" w:sz="6" w:space="0" w:color="000000"/>
          <w:right w:val="single" w:sz="6" w:space="0" w:color="000000"/>
          <w:insideH w:val="single" w:sz="6" w:space="0" w:color="000000"/>
          <w:insideV w:val="single" w:sz="6" w:space="0" w:color="000000"/>
          <w:tl2br w:val="nil"/>
          <w:tr2bl w:val="nil"/>
        </w:tcBorders>
        <w:shd w:val="clear" w:color="auto" w:fill="CCCCFF"/>
      </w:tcPr>
    </w:tblStylePr>
    <w:tblStylePr w:type="lastRow">
      <w:rPr>
        <w:rFonts w:ascii="Arial" w:hAnsi="Arial" w:cs="Arial" w:hint="default"/>
        <w:color w:val="auto"/>
        <w:sz w:val="18"/>
        <w:szCs w:val="18"/>
      </w:rPr>
      <w:tblPr/>
      <w:tcPr>
        <w:tcBorders>
          <w:top w:val="single" w:sz="6" w:space="0" w:color="000000"/>
          <w:tl2br w:val="none" w:sz="0" w:space="0" w:color="auto"/>
          <w:tr2bl w:val="none" w:sz="0" w:space="0" w:color="auto"/>
        </w:tcBorders>
      </w:tcPr>
    </w:tblStylePr>
    <w:tblStylePr w:type="firstCol">
      <w:rPr>
        <w:rFonts w:ascii="Arial" w:hAnsi="Arial" w:cs="Arial" w:hint="default"/>
        <w:b/>
        <w:bCs/>
        <w:sz w:val="18"/>
        <w:szCs w:val="18"/>
      </w:rPr>
      <w:tblPr/>
      <w:tcPr>
        <w:shd w:val="clear" w:color="auto" w:fill="FFFF99"/>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List4">
    <w:name w:val="Table List 4"/>
    <w:basedOn w:val="TableNormal"/>
    <w:semiHidden/>
    <w:unhideWhenUsed/>
    <w:rsid w:val="00AE0D1A"/>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7">
    <w:name w:val="Table List 7"/>
    <w:basedOn w:val="TableNormal"/>
    <w:semiHidden/>
    <w:unhideWhenUsed/>
    <w:rsid w:val="00AE0D1A"/>
    <w:pPr>
      <w:spacing w:after="0" w:line="240" w:lineRule="auto"/>
    </w:pPr>
    <w:rPr>
      <w:rFonts w:ascii="Times New Roman" w:eastAsia="Times New Roman" w:hAnsi="Times New Roman" w:cs="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Grid">
    <w:name w:val="Table Grid"/>
    <w:basedOn w:val="TableNormal"/>
    <w:rsid w:val="00AE0D1A"/>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EnergyTable">
    <w:name w:val="Energy Table"/>
    <w:basedOn w:val="TableNormal"/>
    <w:uiPriority w:val="99"/>
    <w:qFormat/>
    <w:rsid w:val="00AE0D1A"/>
    <w:pPr>
      <w:spacing w:after="0" w:line="240" w:lineRule="auto"/>
    </w:pPr>
    <w:rPr>
      <w:rFonts w:ascii="Arial Narrow" w:eastAsia="Times New Roman" w:hAnsi="Arial Narrow" w:cs="Times New Roman"/>
      <w:sz w:val="20"/>
      <w:szCs w:val="20"/>
    </w:rPr>
    <w:tblPr>
      <w:tblStyleRowBandSize w:val="1"/>
      <w:tblInd w:w="0" w:type="dxa"/>
      <w:tblBorders>
        <w:top w:val="single" w:sz="8" w:space="0" w:color="DDD9C3"/>
        <w:bottom w:val="single" w:sz="8" w:space="0" w:color="92876D"/>
        <w:insideH w:val="single" w:sz="8" w:space="0" w:color="DDD9C3"/>
      </w:tblBorders>
      <w:tblCellMar>
        <w:top w:w="0" w:type="dxa"/>
        <w:left w:w="108" w:type="dxa"/>
        <w:bottom w:w="0" w:type="dxa"/>
        <w:right w:w="108" w:type="dxa"/>
      </w:tblCellMar>
    </w:tblPr>
    <w:tblStylePr w:type="firstRow">
      <w:rPr>
        <w:rFonts w:ascii="Tahoma" w:hAnsi="Tahoma" w:cs="Tahoma" w:hint="default"/>
        <w:b/>
        <w:color w:val="FFFFFF"/>
      </w:rPr>
      <w:tblPr/>
      <w:tcPr>
        <w:tcBorders>
          <w:bottom w:val="single" w:sz="8" w:space="0" w:color="C5A41C"/>
        </w:tcBorders>
        <w:shd w:val="clear" w:color="auto" w:fill="92876D"/>
      </w:tcPr>
    </w:tblStylePr>
    <w:tblStylePr w:type="lastRow">
      <w:tblPr/>
      <w:tcPr>
        <w:tcBorders>
          <w:top w:val="double" w:sz="4" w:space="0" w:color="92876D"/>
        </w:tcBorders>
      </w:tcPr>
    </w:tblStylePr>
    <w:tblStylePr w:type="firstCol">
      <w:rPr>
        <w:rFonts w:ascii="Tahoma" w:hAnsi="Tahoma" w:cs="Tahoma" w:hint="default"/>
        <w:b w:val="0"/>
        <w:color w:val="auto"/>
      </w:rPr>
    </w:tblStylePr>
    <w:tblStylePr w:type="band2Horz">
      <w:tblPr/>
      <w:tcPr>
        <w:shd w:val="clear" w:color="auto" w:fill="DDD9C3"/>
      </w:tcPr>
    </w:tblStylePr>
  </w:style>
  <w:style w:type="table" w:customStyle="1" w:styleId="EnergyPracticeTable">
    <w:name w:val="Energy Practice Table"/>
    <w:basedOn w:val="TableNormal"/>
    <w:uiPriority w:val="99"/>
    <w:qFormat/>
    <w:rsid w:val="00AE0D1A"/>
    <w:pPr>
      <w:spacing w:before="60" w:after="60" w:line="240" w:lineRule="auto"/>
      <w:jc w:val="center"/>
    </w:pPr>
    <w:rPr>
      <w:rFonts w:ascii="Palatino Linotype" w:eastAsia="Times New Roman" w:hAnsi="Palatino Linotype" w:cs="Times New Roman"/>
      <w:sz w:val="20"/>
      <w:szCs w:val="20"/>
    </w:rPr>
    <w:tblPr>
      <w:tblInd w:w="0" w:type="dxa"/>
      <w:tblBorders>
        <w:bottom w:val="single" w:sz="4" w:space="0" w:color="A29784"/>
        <w:insideH w:val="single" w:sz="4" w:space="0" w:color="A29784"/>
        <w:insideV w:val="single" w:sz="4" w:space="0" w:color="A29784"/>
      </w:tblBorders>
      <w:tblCellMar>
        <w:top w:w="0" w:type="dxa"/>
        <w:left w:w="108" w:type="dxa"/>
        <w:bottom w:w="0" w:type="dxa"/>
        <w:right w:w="108" w:type="dxa"/>
      </w:tblCellMar>
    </w:tblPr>
    <w:tcPr>
      <w:vAlign w:val="center"/>
    </w:tcPr>
    <w:tblStylePr w:type="firstRow">
      <w:pPr>
        <w:wordWrap/>
        <w:spacing w:beforeLines="0" w:before="100" w:beforeAutospacing="1" w:afterLines="0" w:after="100" w:afterAutospacing="1" w:line="240" w:lineRule="auto"/>
        <w:jc w:val="center"/>
      </w:pPr>
      <w:rPr>
        <w:rFonts w:ascii="Tahoma" w:hAnsi="Tahoma" w:cs="Tahoma" w:hint="default"/>
        <w:b/>
        <w:color w:val="FFFFFF"/>
        <w:sz w:val="20"/>
        <w:szCs w:val="20"/>
      </w:rPr>
      <w:tblPr/>
      <w:tcPr>
        <w:tcBorders>
          <w:top w:val="nil"/>
          <w:left w:val="nil"/>
          <w:bottom w:val="single" w:sz="4" w:space="0" w:color="993300"/>
          <w:right w:val="nil"/>
          <w:insideH w:val="nil"/>
          <w:insideV w:val="single" w:sz="4" w:space="0" w:color="FFFFFF"/>
          <w:tl2br w:val="nil"/>
          <w:tr2bl w:val="nil"/>
        </w:tcBorders>
        <w:shd w:val="clear" w:color="auto" w:fill="A29784"/>
        <w:vAlign w:val="both"/>
      </w:tcPr>
    </w:tblStylePr>
    <w:tblStylePr w:type="firstCol">
      <w:pPr>
        <w:wordWrap/>
        <w:spacing w:beforeLines="0" w:before="100" w:beforeAutospacing="1" w:afterLines="0" w:after="100" w:afterAutospacing="1" w:line="240" w:lineRule="auto"/>
        <w:jc w:val="left"/>
      </w:pPr>
      <w:rPr>
        <w:rFonts w:ascii="Tahoma" w:hAnsi="Tahoma" w:cs="Tahoma" w:hint="default"/>
        <w:color w:val="auto"/>
        <w:sz w:val="20"/>
        <w:szCs w:val="20"/>
      </w:rPr>
    </w:tblStylePr>
  </w:style>
  <w:style w:type="table" w:customStyle="1" w:styleId="NCITable">
    <w:name w:val="NCI Table"/>
    <w:basedOn w:val="TableNormal"/>
    <w:uiPriority w:val="99"/>
    <w:qFormat/>
    <w:rsid w:val="00AE0D1A"/>
    <w:pPr>
      <w:spacing w:after="0" w:line="240" w:lineRule="auto"/>
    </w:pPr>
    <w:rPr>
      <w:rFonts w:ascii="Times New Roman" w:eastAsia="Times New Roman" w:hAnsi="Times New Roman" w:cs="Times New Roman"/>
      <w:sz w:val="20"/>
      <w:szCs w:val="20"/>
    </w:rPr>
    <w:tblPr>
      <w:tblInd w:w="0" w:type="dxa"/>
      <w:tblCellMar>
        <w:top w:w="0" w:type="dxa"/>
        <w:left w:w="108" w:type="dxa"/>
        <w:bottom w:w="0" w:type="dxa"/>
        <w:right w:w="108" w:type="dxa"/>
      </w:tblCellMar>
    </w:tblPr>
    <w:tblStylePr w:type="firstRow">
      <w:rPr>
        <w:rFonts w:ascii="CG Times" w:hAnsi="CG Times" w:cs="Times New Roman" w:hint="default"/>
        <w:color w:val="FFFFFF" w:themeColor="background1"/>
        <w:sz w:val="20"/>
        <w:szCs w:val="20"/>
      </w:rPr>
      <w:tblPr/>
      <w:tcPr>
        <w:tcBorders>
          <w:insideH w:val="nil"/>
          <w:insideV w:val="nil"/>
        </w:tcBorders>
      </w:tcPr>
    </w:tblStylePr>
  </w:style>
  <w:style w:type="table" w:customStyle="1" w:styleId="Style2">
    <w:name w:val="Style2"/>
    <w:basedOn w:val="TableNormal"/>
    <w:uiPriority w:val="99"/>
    <w:qFormat/>
    <w:rsid w:val="00AE0D1A"/>
    <w:pPr>
      <w:spacing w:after="0" w:line="240" w:lineRule="auto"/>
    </w:pPr>
    <w:rPr>
      <w:rFonts w:ascii="Times New Roman" w:eastAsia="Times New Roman" w:hAnsi="Times New Roman" w:cs="Times New Roman"/>
      <w:sz w:val="20"/>
      <w:szCs w:val="20"/>
    </w:rPr>
    <w:tblPr>
      <w:tblInd w:w="0" w:type="dxa"/>
      <w:tblCellMar>
        <w:top w:w="0" w:type="dxa"/>
        <w:left w:w="108" w:type="dxa"/>
        <w:bottom w:w="0" w:type="dxa"/>
        <w:right w:w="108" w:type="dxa"/>
      </w:tblCellMar>
    </w:tblPr>
  </w:style>
  <w:style w:type="table" w:customStyle="1" w:styleId="Style3">
    <w:name w:val="Style3"/>
    <w:basedOn w:val="TableNormal"/>
    <w:uiPriority w:val="99"/>
    <w:qFormat/>
    <w:rsid w:val="00AE0D1A"/>
    <w:pPr>
      <w:spacing w:after="0" w:line="240" w:lineRule="auto"/>
      <w:jc w:val="center"/>
    </w:pPr>
    <w:rPr>
      <w:rFonts w:ascii="Palatino Linotype" w:eastAsia="Times New Roman" w:hAnsi="Palatino Linotype" w:cs="Times New Roman"/>
      <w:szCs w:val="20"/>
    </w:rPr>
    <w:tblPr>
      <w:tblInd w:w="0" w:type="dxa"/>
      <w:tblBorders>
        <w:bottom w:val="single" w:sz="4" w:space="0" w:color="A29784"/>
        <w:insideH w:val="single" w:sz="4" w:space="0" w:color="A29784"/>
        <w:insideV w:val="single" w:sz="4" w:space="0" w:color="A29784"/>
      </w:tblBorders>
      <w:tblCellMar>
        <w:top w:w="0" w:type="dxa"/>
        <w:left w:w="108" w:type="dxa"/>
        <w:bottom w:w="0" w:type="dxa"/>
        <w:right w:w="108" w:type="dxa"/>
      </w:tblCellMar>
    </w:tblPr>
    <w:tcPr>
      <w:vAlign w:val="center"/>
    </w:tcPr>
    <w:tblStylePr w:type="firstRow">
      <w:pPr>
        <w:wordWrap/>
        <w:spacing w:beforeLines="0" w:before="100" w:beforeAutospacing="1" w:afterLines="0" w:after="100" w:afterAutospacing="1" w:line="240" w:lineRule="auto"/>
        <w:jc w:val="center"/>
      </w:pPr>
      <w:rPr>
        <w:rFonts w:ascii="CG Times" w:hAnsi="CG Times" w:hint="default"/>
        <w:b/>
        <w:color w:val="FFFFFF" w:themeColor="background1"/>
        <w:sz w:val="22"/>
        <w:szCs w:val="22"/>
      </w:rPr>
      <w:tblPr/>
      <w:tcPr>
        <w:tcBorders>
          <w:top w:val="nil"/>
          <w:left w:val="nil"/>
          <w:bottom w:val="nil"/>
          <w:right w:val="nil"/>
          <w:insideH w:val="nil"/>
          <w:insideV w:val="single" w:sz="4" w:space="0" w:color="FFFFFF" w:themeColor="background1"/>
          <w:tl2br w:val="nil"/>
          <w:tr2bl w:val="nil"/>
        </w:tcBorders>
        <w:shd w:val="clear" w:color="auto" w:fill="A29784"/>
        <w:vAlign w:val="both"/>
      </w:tcPr>
    </w:tblStylePr>
    <w:tblStylePr w:type="firstCol">
      <w:pPr>
        <w:wordWrap/>
        <w:spacing w:beforeLines="0" w:before="100" w:beforeAutospacing="1" w:afterLines="0" w:after="100" w:afterAutospacing="1" w:line="240" w:lineRule="auto"/>
        <w:jc w:val="left"/>
      </w:pPr>
      <w:rPr>
        <w:rFonts w:ascii="CG Times" w:hAnsi="CG Times" w:hint="default"/>
        <w:color w:val="auto"/>
        <w:sz w:val="22"/>
        <w:szCs w:val="22"/>
      </w:rPr>
    </w:tblStylePr>
  </w:style>
  <w:style w:type="character" w:styleId="Strong">
    <w:name w:val="Strong"/>
    <w:basedOn w:val="DefaultParagraphFont"/>
    <w:uiPriority w:val="22"/>
    <w:qFormat/>
    <w:rsid w:val="00AE0D1A"/>
    <w:rPr>
      <w:b/>
      <w:bCs/>
    </w:rPr>
  </w:style>
  <w:style w:type="numbering" w:customStyle="1" w:styleId="StyleBulleted9">
    <w:name w:val="Style Bulleted9"/>
    <w:rsid w:val="00AE0D1A"/>
    <w:pPr>
      <w:numPr>
        <w:numId w:val="3"/>
      </w:numPr>
    </w:pPr>
  </w:style>
  <w:style w:type="numbering" w:customStyle="1" w:styleId="StyleNumberedLeft025Hanging025">
    <w:name w:val="Style Numbered Left:  0.25&quot; Hanging:  0.25&quot;"/>
    <w:rsid w:val="00AE0D1A"/>
    <w:pPr>
      <w:numPr>
        <w:numId w:val="6"/>
      </w:numPr>
    </w:pPr>
  </w:style>
  <w:style w:type="numbering" w:customStyle="1" w:styleId="StyleBulleted">
    <w:name w:val="Style Bulleted"/>
    <w:rsid w:val="00AE0D1A"/>
    <w:pPr>
      <w:numPr>
        <w:numId w:val="7"/>
      </w:numPr>
    </w:pPr>
  </w:style>
  <w:style w:type="numbering" w:customStyle="1" w:styleId="StyleBulleted6">
    <w:name w:val="Style Bulleted6"/>
    <w:rsid w:val="00AE0D1A"/>
    <w:pPr>
      <w:numPr>
        <w:numId w:val="8"/>
      </w:numPr>
    </w:pPr>
  </w:style>
  <w:style w:type="numbering" w:customStyle="1" w:styleId="StyleBulletedLeft0Hanging03">
    <w:name w:val="Style Bulleted Left:  0&quot; Hanging:  0.3&quot;"/>
    <w:rsid w:val="00AE0D1A"/>
    <w:pPr>
      <w:numPr>
        <w:numId w:val="9"/>
      </w:numPr>
    </w:pPr>
  </w:style>
  <w:style w:type="numbering" w:customStyle="1" w:styleId="Style1">
    <w:name w:val="Style1"/>
    <w:uiPriority w:val="99"/>
    <w:rsid w:val="00AE0D1A"/>
    <w:pPr>
      <w:numPr>
        <w:numId w:val="10"/>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6" w:uiPriority="0"/>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header" w:uiPriority="0"/>
    <w:lsdException w:name="index heading" w:uiPriority="0"/>
    <w:lsdException w:name="caption" w:qFormat="1"/>
    <w:lsdException w:name="envelope return" w:uiPriority="0"/>
    <w:lsdException w:name="footnote reference" w:uiPriority="0"/>
    <w:lsdException w:name="macro" w:uiPriority="0"/>
    <w:lsdException w:name="List 4" w:uiPriority="0"/>
    <w:lsdException w:name="List Bullet 3" w:uiPriority="0"/>
    <w:lsdException w:name="List Number 4" w:uiPriority="0"/>
    <w:lsdException w:name="Title" w:semiHidden="0" w:uiPriority="0" w:unhideWhenUsed="0" w:qFormat="1"/>
    <w:lsdException w:name="Closing" w:uiPriority="0"/>
    <w:lsdException w:name="Default Paragraph Font" w:uiPriority="1"/>
    <w:lsdException w:name="Body Text" w:uiPriority="0"/>
    <w:lsdException w:name="Body Text Indent" w:uiPriority="0"/>
    <w:lsdException w:name="Message Header" w:uiPriority="0"/>
    <w:lsdException w:name="Subtitle" w:semiHidden="0" w:uiPriority="0" w:unhideWhenUsed="0" w:qFormat="1"/>
    <w:lsdException w:name="Date" w:uiPriority="0"/>
    <w:lsdException w:name="Body Text First Indent" w:uiPriority="0"/>
    <w:lsdException w:name="Body Text First Indent 2" w:uiPriority="0"/>
    <w:lsdException w:name="Body Text Indent 3" w:uiPriority="0"/>
    <w:lsdException w:name="Block Text" w:uiPriority="0" w:qFormat="1"/>
    <w:lsdException w:name="Strong" w:semiHidden="0" w:uiPriority="22" w:unhideWhenUsed="0" w:qFormat="1"/>
    <w:lsdException w:name="Emphasis" w:semiHidden="0" w:uiPriority="20" w:unhideWhenUsed="0" w:qFormat="1"/>
    <w:lsdException w:name="E-mail Signature" w:uiPriority="0"/>
    <w:lsdException w:name="Normal (Web)" w:uiPriority="0"/>
    <w:lsdException w:name="HTML Code" w:uiPriority="0"/>
    <w:lsdException w:name="HTML Sample" w:uiPriority="0"/>
    <w:lsdException w:name="HTML Typewriter" w:uiPriority="0"/>
    <w:lsdException w:name="annotation subject" w:uiPriority="0"/>
    <w:lsdException w:name="Table Classic 2" w:uiPriority="0"/>
    <w:lsdException w:name="Table List 4" w:uiPriority="0"/>
    <w:lsdException w:name="Table List 7"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E0D1A"/>
    <w:pPr>
      <w:tabs>
        <w:tab w:val="left" w:pos="720"/>
      </w:tabs>
      <w:spacing w:after="0" w:line="240" w:lineRule="auto"/>
    </w:pPr>
    <w:rPr>
      <w:rFonts w:ascii="Palatino Linotype" w:eastAsia="Times New Roman" w:hAnsi="Palatino Linotype" w:cs="Times New Roman"/>
      <w:sz w:val="20"/>
      <w:szCs w:val="24"/>
    </w:rPr>
  </w:style>
  <w:style w:type="paragraph" w:styleId="Heading1">
    <w:name w:val="heading 1"/>
    <w:basedOn w:val="Normal"/>
    <w:next w:val="Normal"/>
    <w:link w:val="Heading1Char"/>
    <w:qFormat/>
    <w:rsid w:val="00AE0D1A"/>
    <w:pPr>
      <w:keepNext/>
      <w:keepLines/>
      <w:numPr>
        <w:numId w:val="1"/>
      </w:numPr>
      <w:pBdr>
        <w:left w:val="single" w:sz="4" w:space="4" w:color="A15F00"/>
      </w:pBdr>
      <w:shd w:val="clear" w:color="auto" w:fill="A15F00"/>
      <w:spacing w:before="360" w:after="360"/>
      <w:outlineLvl w:val="0"/>
    </w:pPr>
    <w:rPr>
      <w:rFonts w:cs="Arial"/>
      <w:b/>
      <w:bCs/>
      <w:color w:val="FFFFFF"/>
      <w:kern w:val="28"/>
      <w:position w:val="6"/>
      <w:sz w:val="24"/>
    </w:rPr>
  </w:style>
  <w:style w:type="paragraph" w:styleId="Heading2">
    <w:name w:val="heading 2"/>
    <w:basedOn w:val="Normal"/>
    <w:next w:val="Normal"/>
    <w:link w:val="Heading2Char"/>
    <w:unhideWhenUsed/>
    <w:qFormat/>
    <w:rsid w:val="00AE0D1A"/>
    <w:pPr>
      <w:keepNext/>
      <w:numPr>
        <w:ilvl w:val="1"/>
        <w:numId w:val="1"/>
      </w:numPr>
      <w:spacing w:before="240" w:after="120"/>
      <w:outlineLvl w:val="1"/>
    </w:pPr>
    <w:rPr>
      <w:rFonts w:cs="Arial"/>
      <w:b/>
      <w:bCs/>
      <w:i/>
      <w:iCs/>
      <w:sz w:val="24"/>
      <w:szCs w:val="28"/>
    </w:rPr>
  </w:style>
  <w:style w:type="paragraph" w:styleId="Heading3">
    <w:name w:val="heading 3"/>
    <w:basedOn w:val="Normal"/>
    <w:next w:val="Normal"/>
    <w:link w:val="Heading3Char"/>
    <w:unhideWhenUsed/>
    <w:qFormat/>
    <w:rsid w:val="00AE0D1A"/>
    <w:pPr>
      <w:keepNext/>
      <w:numPr>
        <w:ilvl w:val="2"/>
        <w:numId w:val="1"/>
      </w:numPr>
      <w:spacing w:before="240" w:after="120"/>
      <w:outlineLvl w:val="2"/>
    </w:pPr>
    <w:rPr>
      <w:rFonts w:cs="Arial"/>
      <w:b/>
      <w:bCs/>
      <w:szCs w:val="26"/>
    </w:rPr>
  </w:style>
  <w:style w:type="paragraph" w:styleId="Heading4">
    <w:name w:val="heading 4"/>
    <w:basedOn w:val="Normal"/>
    <w:next w:val="Normal"/>
    <w:link w:val="Heading4Char"/>
    <w:unhideWhenUsed/>
    <w:qFormat/>
    <w:rsid w:val="00AE0D1A"/>
    <w:pPr>
      <w:keepNext/>
      <w:keepLines/>
      <w:numPr>
        <w:ilvl w:val="3"/>
        <w:numId w:val="1"/>
      </w:numPr>
      <w:spacing w:before="240" w:after="240"/>
      <w:outlineLvl w:val="3"/>
    </w:pPr>
    <w:rPr>
      <w:b/>
      <w:bCs/>
      <w:i/>
      <w:iCs/>
      <w:kern w:val="28"/>
      <w:szCs w:val="20"/>
    </w:rPr>
  </w:style>
  <w:style w:type="paragraph" w:styleId="Heading5">
    <w:name w:val="heading 5"/>
    <w:aliases w:val="Append Level 1"/>
    <w:basedOn w:val="Normal"/>
    <w:next w:val="Normal"/>
    <w:link w:val="Heading5Char"/>
    <w:semiHidden/>
    <w:unhideWhenUsed/>
    <w:qFormat/>
    <w:rsid w:val="00AE0D1A"/>
    <w:pPr>
      <w:keepNext/>
      <w:keepLines/>
      <w:numPr>
        <w:ilvl w:val="4"/>
        <w:numId w:val="1"/>
      </w:numPr>
      <w:pBdr>
        <w:left w:val="single" w:sz="4" w:space="4" w:color="A15F00"/>
      </w:pBdr>
      <w:shd w:val="clear" w:color="auto" w:fill="A15F00"/>
      <w:spacing w:before="360" w:after="360"/>
      <w:outlineLvl w:val="4"/>
    </w:pPr>
    <w:rPr>
      <w:b/>
      <w:color w:val="FFFFFF"/>
      <w:kern w:val="28"/>
      <w:position w:val="6"/>
      <w:sz w:val="24"/>
    </w:rPr>
  </w:style>
  <w:style w:type="paragraph" w:styleId="Heading6">
    <w:name w:val="heading 6"/>
    <w:aliases w:val="Append Level 2"/>
    <w:next w:val="Normal"/>
    <w:link w:val="Heading6Char"/>
    <w:semiHidden/>
    <w:unhideWhenUsed/>
    <w:qFormat/>
    <w:rsid w:val="00AE0D1A"/>
    <w:pPr>
      <w:keepNext/>
      <w:keepLines/>
      <w:numPr>
        <w:ilvl w:val="5"/>
        <w:numId w:val="1"/>
      </w:numPr>
      <w:tabs>
        <w:tab w:val="left" w:pos="720"/>
      </w:tabs>
      <w:spacing w:before="240" w:after="240" w:line="240" w:lineRule="auto"/>
      <w:outlineLvl w:val="5"/>
    </w:pPr>
    <w:rPr>
      <w:rFonts w:ascii="Palatino Linotype" w:eastAsia="Times New Roman" w:hAnsi="Palatino Linotype" w:cs="Times New Roman"/>
      <w:b/>
      <w:i/>
      <w:iCs/>
      <w:kern w:val="28"/>
      <w:position w:val="6"/>
      <w:sz w:val="24"/>
      <w:szCs w:val="24"/>
    </w:rPr>
  </w:style>
  <w:style w:type="paragraph" w:styleId="Heading7">
    <w:name w:val="heading 7"/>
    <w:aliases w:val="Heading 7 ES Head 1"/>
    <w:next w:val="Normal"/>
    <w:link w:val="Heading7Char"/>
    <w:semiHidden/>
    <w:unhideWhenUsed/>
    <w:qFormat/>
    <w:rsid w:val="00AE0D1A"/>
    <w:pPr>
      <w:keepNext/>
      <w:keepLines/>
      <w:pageBreakBefore/>
      <w:pBdr>
        <w:left w:val="single" w:sz="4" w:space="4" w:color="A15F00"/>
      </w:pBdr>
      <w:shd w:val="clear" w:color="auto" w:fill="A15F00"/>
      <w:tabs>
        <w:tab w:val="left" w:pos="720"/>
      </w:tabs>
      <w:spacing w:before="360" w:after="360" w:line="240" w:lineRule="auto"/>
      <w:outlineLvl w:val="6"/>
    </w:pPr>
    <w:rPr>
      <w:rFonts w:ascii="Palatino Linotype" w:eastAsiaTheme="majorEastAsia" w:hAnsi="Palatino Linotype" w:cstheme="majorBidi"/>
      <w:b/>
      <w:bCs/>
      <w:iCs/>
      <w:color w:val="FFFFFF" w:themeColor="background1"/>
      <w:kern w:val="28"/>
      <w:position w:val="6"/>
      <w:sz w:val="24"/>
      <w:szCs w:val="28"/>
    </w:rPr>
  </w:style>
  <w:style w:type="paragraph" w:styleId="Heading8">
    <w:name w:val="heading 8"/>
    <w:aliases w:val="Heading 8 ES Head 2"/>
    <w:basedOn w:val="Normal"/>
    <w:next w:val="Normal"/>
    <w:link w:val="Heading8Char"/>
    <w:semiHidden/>
    <w:unhideWhenUsed/>
    <w:qFormat/>
    <w:rsid w:val="00AE0D1A"/>
    <w:pPr>
      <w:keepNext/>
      <w:keepLines/>
      <w:spacing w:before="240" w:after="120"/>
      <w:outlineLvl w:val="7"/>
    </w:pPr>
    <w:rPr>
      <w:rFonts w:eastAsiaTheme="majorEastAsia" w:cstheme="majorBidi"/>
      <w:b/>
      <w:i/>
      <w:sz w:val="24"/>
      <w:szCs w:val="20"/>
    </w:rPr>
  </w:style>
  <w:style w:type="paragraph" w:styleId="Heading9">
    <w:name w:val="heading 9"/>
    <w:aliases w:val="Heading 9 ES Head 3"/>
    <w:basedOn w:val="Normal"/>
    <w:next w:val="Normal"/>
    <w:link w:val="Heading9Char"/>
    <w:semiHidden/>
    <w:unhideWhenUsed/>
    <w:qFormat/>
    <w:rsid w:val="00AE0D1A"/>
    <w:pPr>
      <w:keepNext/>
      <w:keepLines/>
      <w:spacing w:before="240" w:after="120"/>
      <w:outlineLvl w:val="8"/>
    </w:pPr>
    <w:rPr>
      <w:rFonts w:ascii="Arial Narrow" w:eastAsiaTheme="majorEastAsia" w:hAnsi="Arial Narrow" w:cstheme="majorBidi"/>
      <w:b/>
      <w:iCs/>
      <w:color w:val="A15F0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E0D1A"/>
    <w:rPr>
      <w:rFonts w:ascii="Palatino Linotype" w:eastAsia="Times New Roman" w:hAnsi="Palatino Linotype" w:cs="Arial"/>
      <w:b/>
      <w:bCs/>
      <w:color w:val="FFFFFF"/>
      <w:kern w:val="28"/>
      <w:position w:val="6"/>
      <w:sz w:val="24"/>
      <w:szCs w:val="24"/>
      <w:shd w:val="clear" w:color="auto" w:fill="A15F00"/>
    </w:rPr>
  </w:style>
  <w:style w:type="character" w:customStyle="1" w:styleId="Heading2Char">
    <w:name w:val="Heading 2 Char"/>
    <w:basedOn w:val="DefaultParagraphFont"/>
    <w:link w:val="Heading2"/>
    <w:rsid w:val="00AE0D1A"/>
    <w:rPr>
      <w:rFonts w:ascii="Palatino Linotype" w:eastAsia="Times New Roman" w:hAnsi="Palatino Linotype" w:cs="Arial"/>
      <w:b/>
      <w:bCs/>
      <w:i/>
      <w:iCs/>
      <w:sz w:val="24"/>
      <w:szCs w:val="28"/>
    </w:rPr>
  </w:style>
  <w:style w:type="character" w:customStyle="1" w:styleId="Heading3Char">
    <w:name w:val="Heading 3 Char"/>
    <w:basedOn w:val="DefaultParagraphFont"/>
    <w:link w:val="Heading3"/>
    <w:rsid w:val="00AE0D1A"/>
    <w:rPr>
      <w:rFonts w:ascii="Palatino Linotype" w:eastAsia="Times New Roman" w:hAnsi="Palatino Linotype" w:cs="Arial"/>
      <w:b/>
      <w:bCs/>
      <w:sz w:val="20"/>
      <w:szCs w:val="26"/>
    </w:rPr>
  </w:style>
  <w:style w:type="character" w:customStyle="1" w:styleId="Heading4Char">
    <w:name w:val="Heading 4 Char"/>
    <w:basedOn w:val="DefaultParagraphFont"/>
    <w:link w:val="Heading4"/>
    <w:rsid w:val="00AE0D1A"/>
    <w:rPr>
      <w:rFonts w:ascii="Palatino Linotype" w:eastAsia="Times New Roman" w:hAnsi="Palatino Linotype" w:cs="Times New Roman"/>
      <w:b/>
      <w:bCs/>
      <w:i/>
      <w:iCs/>
      <w:kern w:val="28"/>
      <w:sz w:val="20"/>
      <w:szCs w:val="20"/>
    </w:rPr>
  </w:style>
  <w:style w:type="character" w:customStyle="1" w:styleId="Heading5Char">
    <w:name w:val="Heading 5 Char"/>
    <w:aliases w:val="Append Level 1 Char"/>
    <w:basedOn w:val="DefaultParagraphFont"/>
    <w:link w:val="Heading5"/>
    <w:semiHidden/>
    <w:rsid w:val="00AE0D1A"/>
    <w:rPr>
      <w:rFonts w:ascii="Palatino Linotype" w:eastAsia="Times New Roman" w:hAnsi="Palatino Linotype" w:cs="Times New Roman"/>
      <w:b/>
      <w:color w:val="FFFFFF"/>
      <w:kern w:val="28"/>
      <w:position w:val="6"/>
      <w:sz w:val="24"/>
      <w:szCs w:val="24"/>
      <w:shd w:val="clear" w:color="auto" w:fill="A15F00"/>
    </w:rPr>
  </w:style>
  <w:style w:type="character" w:customStyle="1" w:styleId="Heading6Char">
    <w:name w:val="Heading 6 Char"/>
    <w:aliases w:val="Append Level 2 Char"/>
    <w:basedOn w:val="DefaultParagraphFont"/>
    <w:link w:val="Heading6"/>
    <w:semiHidden/>
    <w:rsid w:val="00AE0D1A"/>
    <w:rPr>
      <w:rFonts w:ascii="Palatino Linotype" w:eastAsia="Times New Roman" w:hAnsi="Palatino Linotype" w:cs="Times New Roman"/>
      <w:b/>
      <w:i/>
      <w:iCs/>
      <w:kern w:val="28"/>
      <w:position w:val="6"/>
      <w:sz w:val="24"/>
      <w:szCs w:val="24"/>
    </w:rPr>
  </w:style>
  <w:style w:type="character" w:customStyle="1" w:styleId="Heading7Char">
    <w:name w:val="Heading 7 Char"/>
    <w:aliases w:val="Heading 7 ES Head 1 Char"/>
    <w:basedOn w:val="DefaultParagraphFont"/>
    <w:link w:val="Heading7"/>
    <w:semiHidden/>
    <w:rsid w:val="00AE0D1A"/>
    <w:rPr>
      <w:rFonts w:ascii="Palatino Linotype" w:eastAsiaTheme="majorEastAsia" w:hAnsi="Palatino Linotype" w:cstheme="majorBidi"/>
      <w:b/>
      <w:bCs/>
      <w:iCs/>
      <w:color w:val="FFFFFF" w:themeColor="background1"/>
      <w:kern w:val="28"/>
      <w:position w:val="6"/>
      <w:sz w:val="24"/>
      <w:szCs w:val="28"/>
      <w:shd w:val="clear" w:color="auto" w:fill="A15F00"/>
    </w:rPr>
  </w:style>
  <w:style w:type="character" w:customStyle="1" w:styleId="Heading8Char">
    <w:name w:val="Heading 8 Char"/>
    <w:aliases w:val="Heading 8 ES Head 2 Char"/>
    <w:basedOn w:val="DefaultParagraphFont"/>
    <w:link w:val="Heading8"/>
    <w:semiHidden/>
    <w:rsid w:val="00AE0D1A"/>
    <w:rPr>
      <w:rFonts w:ascii="Palatino Linotype" w:eastAsiaTheme="majorEastAsia" w:hAnsi="Palatino Linotype" w:cstheme="majorBidi"/>
      <w:b/>
      <w:i/>
      <w:sz w:val="24"/>
      <w:szCs w:val="20"/>
    </w:rPr>
  </w:style>
  <w:style w:type="character" w:customStyle="1" w:styleId="Heading9Char">
    <w:name w:val="Heading 9 Char"/>
    <w:aliases w:val="Heading 9 ES Head 3 Char"/>
    <w:basedOn w:val="DefaultParagraphFont"/>
    <w:link w:val="Heading9"/>
    <w:semiHidden/>
    <w:rsid w:val="00AE0D1A"/>
    <w:rPr>
      <w:rFonts w:ascii="Arial Narrow" w:eastAsiaTheme="majorEastAsia" w:hAnsi="Arial Narrow" w:cstheme="majorBidi"/>
      <w:b/>
      <w:iCs/>
      <w:color w:val="A15F00"/>
      <w:sz w:val="20"/>
      <w:szCs w:val="20"/>
    </w:rPr>
  </w:style>
  <w:style w:type="character" w:styleId="Hyperlink">
    <w:name w:val="Hyperlink"/>
    <w:uiPriority w:val="99"/>
    <w:unhideWhenUsed/>
    <w:rsid w:val="00AE0D1A"/>
    <w:rPr>
      <w:rFonts w:ascii="Palatino Linotype" w:hAnsi="Palatino Linotype" w:hint="default"/>
      <w:color w:val="0000FF"/>
      <w:sz w:val="20"/>
      <w:u w:val="single"/>
    </w:rPr>
  </w:style>
  <w:style w:type="character" w:styleId="FollowedHyperlink">
    <w:name w:val="FollowedHyperlink"/>
    <w:basedOn w:val="DefaultParagraphFont"/>
    <w:uiPriority w:val="99"/>
    <w:semiHidden/>
    <w:unhideWhenUsed/>
    <w:rsid w:val="00AE0D1A"/>
    <w:rPr>
      <w:color w:val="800080" w:themeColor="followedHyperlink"/>
      <w:u w:val="single"/>
    </w:rPr>
  </w:style>
  <w:style w:type="character" w:styleId="HTMLCode">
    <w:name w:val="HTML Code"/>
    <w:basedOn w:val="DefaultParagraphFont"/>
    <w:semiHidden/>
    <w:unhideWhenUsed/>
    <w:rsid w:val="00AE0D1A"/>
    <w:rPr>
      <w:rFonts w:ascii="Consolas" w:eastAsia="Times New Roman" w:hAnsi="Consolas" w:cs="Times New Roman" w:hint="default"/>
      <w:sz w:val="20"/>
      <w:szCs w:val="20"/>
    </w:rPr>
  </w:style>
  <w:style w:type="character" w:customStyle="1" w:styleId="Heading5Char1">
    <w:name w:val="Heading 5 Char1"/>
    <w:aliases w:val="Append Level 1 Char1"/>
    <w:basedOn w:val="DefaultParagraphFont"/>
    <w:semiHidden/>
    <w:rsid w:val="00AE0D1A"/>
    <w:rPr>
      <w:rFonts w:asciiTheme="majorHAnsi" w:eastAsiaTheme="majorEastAsia" w:hAnsiTheme="majorHAnsi" w:cstheme="majorBidi"/>
      <w:color w:val="243F60" w:themeColor="accent1" w:themeShade="7F"/>
      <w:szCs w:val="24"/>
    </w:rPr>
  </w:style>
  <w:style w:type="character" w:customStyle="1" w:styleId="Heading6Char1">
    <w:name w:val="Heading 6 Char1"/>
    <w:aliases w:val="Append Level 2 Char1"/>
    <w:basedOn w:val="DefaultParagraphFont"/>
    <w:semiHidden/>
    <w:rsid w:val="00AE0D1A"/>
    <w:rPr>
      <w:rFonts w:asciiTheme="majorHAnsi" w:eastAsiaTheme="majorEastAsia" w:hAnsiTheme="majorHAnsi" w:cstheme="majorBidi"/>
      <w:i/>
      <w:iCs/>
      <w:color w:val="243F60" w:themeColor="accent1" w:themeShade="7F"/>
      <w:szCs w:val="24"/>
    </w:rPr>
  </w:style>
  <w:style w:type="character" w:styleId="HTMLSample">
    <w:name w:val="HTML Sample"/>
    <w:basedOn w:val="DefaultParagraphFont"/>
    <w:semiHidden/>
    <w:unhideWhenUsed/>
    <w:rsid w:val="00AE0D1A"/>
    <w:rPr>
      <w:rFonts w:ascii="Consolas" w:eastAsia="Times New Roman" w:hAnsi="Consolas" w:cs="Times New Roman" w:hint="default"/>
      <w:sz w:val="24"/>
      <w:szCs w:val="24"/>
    </w:rPr>
  </w:style>
  <w:style w:type="character" w:styleId="HTMLTypewriter">
    <w:name w:val="HTML Typewriter"/>
    <w:basedOn w:val="DefaultParagraphFont"/>
    <w:semiHidden/>
    <w:unhideWhenUsed/>
    <w:rsid w:val="00AE0D1A"/>
    <w:rPr>
      <w:rFonts w:ascii="Consolas" w:eastAsia="Times New Roman" w:hAnsi="Consolas" w:cs="Times New Roman" w:hint="default"/>
      <w:sz w:val="20"/>
      <w:szCs w:val="20"/>
    </w:rPr>
  </w:style>
  <w:style w:type="paragraph" w:styleId="NormalWeb">
    <w:name w:val="Normal (Web)"/>
    <w:basedOn w:val="Normal"/>
    <w:semiHidden/>
    <w:unhideWhenUsed/>
    <w:rsid w:val="00AE0D1A"/>
    <w:pPr>
      <w:tabs>
        <w:tab w:val="left" w:pos="360"/>
        <w:tab w:val="left" w:pos="1080"/>
        <w:tab w:val="left" w:pos="1440"/>
      </w:tabs>
      <w:spacing w:before="240" w:after="240"/>
    </w:pPr>
    <w:rPr>
      <w:rFonts w:ascii="Times New Roman" w:hAnsi="Times New Roman"/>
      <w:sz w:val="24"/>
    </w:rPr>
  </w:style>
  <w:style w:type="character" w:customStyle="1" w:styleId="Heading7Char1">
    <w:name w:val="Heading 7 Char1"/>
    <w:aliases w:val="Heading 7 ES Head 1 Char1"/>
    <w:basedOn w:val="DefaultParagraphFont"/>
    <w:semiHidden/>
    <w:rsid w:val="00AE0D1A"/>
    <w:rPr>
      <w:rFonts w:asciiTheme="majorHAnsi" w:eastAsiaTheme="majorEastAsia" w:hAnsiTheme="majorHAnsi" w:cstheme="majorBidi"/>
      <w:i/>
      <w:iCs/>
      <w:color w:val="404040" w:themeColor="text1" w:themeTint="BF"/>
      <w:szCs w:val="24"/>
    </w:rPr>
  </w:style>
  <w:style w:type="character" w:customStyle="1" w:styleId="Heading8Char1">
    <w:name w:val="Heading 8 Char1"/>
    <w:aliases w:val="Heading 8 ES Head 2 Char1"/>
    <w:basedOn w:val="DefaultParagraphFont"/>
    <w:semiHidden/>
    <w:rsid w:val="00AE0D1A"/>
    <w:rPr>
      <w:rFonts w:asciiTheme="majorHAnsi" w:eastAsiaTheme="majorEastAsia" w:hAnsiTheme="majorHAnsi" w:cstheme="majorBidi"/>
      <w:color w:val="404040" w:themeColor="text1" w:themeTint="BF"/>
    </w:rPr>
  </w:style>
  <w:style w:type="character" w:customStyle="1" w:styleId="Heading9Char1">
    <w:name w:val="Heading 9 Char1"/>
    <w:aliases w:val="Heading 9 ES Head 3 Char1"/>
    <w:basedOn w:val="DefaultParagraphFont"/>
    <w:semiHidden/>
    <w:rsid w:val="00AE0D1A"/>
    <w:rPr>
      <w:rFonts w:asciiTheme="majorHAnsi" w:eastAsiaTheme="majorEastAsia" w:hAnsiTheme="majorHAnsi" w:cstheme="majorBidi"/>
      <w:i/>
      <w:iCs/>
      <w:color w:val="404040" w:themeColor="text1" w:themeTint="BF"/>
    </w:rPr>
  </w:style>
  <w:style w:type="paragraph" w:styleId="Index1">
    <w:name w:val="index 1"/>
    <w:basedOn w:val="Normal"/>
    <w:next w:val="Normal"/>
    <w:autoRedefine/>
    <w:semiHidden/>
    <w:unhideWhenUsed/>
    <w:rsid w:val="00AE0D1A"/>
    <w:pPr>
      <w:ind w:left="220" w:hanging="220"/>
    </w:pPr>
    <w:rPr>
      <w:sz w:val="22"/>
    </w:rPr>
  </w:style>
  <w:style w:type="paragraph" w:styleId="Index2">
    <w:name w:val="index 2"/>
    <w:basedOn w:val="Normal"/>
    <w:next w:val="Normal"/>
    <w:autoRedefine/>
    <w:semiHidden/>
    <w:unhideWhenUsed/>
    <w:rsid w:val="00AE0D1A"/>
    <w:pPr>
      <w:spacing w:after="240"/>
      <w:ind w:left="440" w:hanging="220"/>
    </w:pPr>
    <w:rPr>
      <w:sz w:val="22"/>
    </w:rPr>
  </w:style>
  <w:style w:type="paragraph" w:styleId="Index6">
    <w:name w:val="index 6"/>
    <w:basedOn w:val="Normal"/>
    <w:next w:val="Normal"/>
    <w:autoRedefine/>
    <w:semiHidden/>
    <w:unhideWhenUsed/>
    <w:rsid w:val="00AE0D1A"/>
    <w:pPr>
      <w:ind w:left="1320" w:hanging="220"/>
    </w:pPr>
    <w:rPr>
      <w:sz w:val="22"/>
    </w:rPr>
  </w:style>
  <w:style w:type="paragraph" w:styleId="TOC1">
    <w:name w:val="toc 1"/>
    <w:basedOn w:val="Normal"/>
    <w:next w:val="Normal"/>
    <w:autoRedefine/>
    <w:uiPriority w:val="39"/>
    <w:unhideWhenUsed/>
    <w:rsid w:val="00AE0D1A"/>
    <w:pPr>
      <w:tabs>
        <w:tab w:val="clear" w:pos="720"/>
        <w:tab w:val="left" w:pos="540"/>
        <w:tab w:val="left" w:pos="1620"/>
        <w:tab w:val="right" w:leader="dot" w:pos="9270"/>
      </w:tabs>
      <w:snapToGrid w:val="0"/>
      <w:spacing w:before="120" w:line="360" w:lineRule="auto"/>
      <w:ind w:left="540" w:hanging="540"/>
    </w:pPr>
    <w:rPr>
      <w:b/>
      <w:noProof/>
      <w:sz w:val="24"/>
    </w:rPr>
  </w:style>
  <w:style w:type="paragraph" w:styleId="TOC2">
    <w:name w:val="toc 2"/>
    <w:basedOn w:val="Normal"/>
    <w:next w:val="Normal"/>
    <w:autoRedefine/>
    <w:uiPriority w:val="39"/>
    <w:unhideWhenUsed/>
    <w:rsid w:val="00AE0D1A"/>
    <w:pPr>
      <w:tabs>
        <w:tab w:val="clear" w:pos="720"/>
        <w:tab w:val="left" w:pos="1080"/>
        <w:tab w:val="right" w:leader="dot" w:pos="9278"/>
      </w:tabs>
      <w:ind w:left="1080" w:hanging="540"/>
    </w:pPr>
    <w:rPr>
      <w:noProof/>
    </w:rPr>
  </w:style>
  <w:style w:type="paragraph" w:styleId="TOC3">
    <w:name w:val="toc 3"/>
    <w:basedOn w:val="Normal"/>
    <w:next w:val="Normal"/>
    <w:autoRedefine/>
    <w:uiPriority w:val="39"/>
    <w:unhideWhenUsed/>
    <w:rsid w:val="00AE0D1A"/>
    <w:pPr>
      <w:tabs>
        <w:tab w:val="clear" w:pos="720"/>
        <w:tab w:val="left" w:pos="1800"/>
        <w:tab w:val="right" w:leader="dot" w:pos="9278"/>
      </w:tabs>
      <w:ind w:left="1800" w:hanging="720"/>
    </w:pPr>
    <w:rPr>
      <w:noProof/>
      <w:szCs w:val="20"/>
    </w:rPr>
  </w:style>
  <w:style w:type="paragraph" w:styleId="TOC4">
    <w:name w:val="toc 4"/>
    <w:basedOn w:val="Normal"/>
    <w:next w:val="Normal"/>
    <w:autoRedefine/>
    <w:uiPriority w:val="39"/>
    <w:unhideWhenUsed/>
    <w:rsid w:val="00AE0D1A"/>
    <w:pPr>
      <w:tabs>
        <w:tab w:val="clear" w:pos="720"/>
        <w:tab w:val="left" w:pos="2700"/>
        <w:tab w:val="right" w:leader="dot" w:pos="9278"/>
      </w:tabs>
      <w:spacing w:after="100"/>
      <w:ind w:left="2700" w:hanging="900"/>
    </w:pPr>
    <w:rPr>
      <w:i/>
      <w:noProof/>
    </w:rPr>
  </w:style>
  <w:style w:type="paragraph" w:styleId="TOC5">
    <w:name w:val="toc 5"/>
    <w:basedOn w:val="Normal"/>
    <w:next w:val="Normal"/>
    <w:autoRedefine/>
    <w:semiHidden/>
    <w:unhideWhenUsed/>
    <w:rsid w:val="00AE0D1A"/>
    <w:pPr>
      <w:spacing w:before="240" w:after="240"/>
      <w:ind w:left="800"/>
    </w:pPr>
    <w:rPr>
      <w:sz w:val="22"/>
    </w:rPr>
  </w:style>
  <w:style w:type="paragraph" w:styleId="TOC6">
    <w:name w:val="toc 6"/>
    <w:basedOn w:val="Normal"/>
    <w:next w:val="Normal"/>
    <w:autoRedefine/>
    <w:semiHidden/>
    <w:unhideWhenUsed/>
    <w:rsid w:val="00AE0D1A"/>
    <w:pPr>
      <w:spacing w:before="240" w:after="240"/>
      <w:ind w:left="1000"/>
    </w:pPr>
    <w:rPr>
      <w:sz w:val="22"/>
    </w:rPr>
  </w:style>
  <w:style w:type="paragraph" w:styleId="TOC7">
    <w:name w:val="toc 7"/>
    <w:basedOn w:val="Normal"/>
    <w:next w:val="Normal"/>
    <w:autoRedefine/>
    <w:semiHidden/>
    <w:unhideWhenUsed/>
    <w:rsid w:val="00AE0D1A"/>
    <w:pPr>
      <w:spacing w:before="240" w:after="240"/>
      <w:ind w:left="1200"/>
    </w:pPr>
    <w:rPr>
      <w:sz w:val="22"/>
    </w:rPr>
  </w:style>
  <w:style w:type="paragraph" w:styleId="TOC8">
    <w:name w:val="toc 8"/>
    <w:basedOn w:val="Normal"/>
    <w:next w:val="Normal"/>
    <w:autoRedefine/>
    <w:semiHidden/>
    <w:unhideWhenUsed/>
    <w:rsid w:val="00AE0D1A"/>
    <w:pPr>
      <w:spacing w:before="240" w:after="240"/>
      <w:ind w:left="1400"/>
    </w:pPr>
    <w:rPr>
      <w:sz w:val="22"/>
    </w:rPr>
  </w:style>
  <w:style w:type="paragraph" w:styleId="TOC9">
    <w:name w:val="toc 9"/>
    <w:basedOn w:val="Normal"/>
    <w:next w:val="Normal"/>
    <w:autoRedefine/>
    <w:semiHidden/>
    <w:unhideWhenUsed/>
    <w:rsid w:val="00AE0D1A"/>
    <w:pPr>
      <w:spacing w:before="240" w:after="240"/>
      <w:ind w:left="1600"/>
    </w:pPr>
    <w:rPr>
      <w:sz w:val="22"/>
    </w:rPr>
  </w:style>
  <w:style w:type="paragraph" w:styleId="NormalIndent">
    <w:name w:val="Normal Indent"/>
    <w:basedOn w:val="Normal"/>
    <w:semiHidden/>
    <w:unhideWhenUsed/>
    <w:rsid w:val="00AE0D1A"/>
    <w:pPr>
      <w:tabs>
        <w:tab w:val="left" w:pos="360"/>
        <w:tab w:val="left" w:pos="1080"/>
        <w:tab w:val="left" w:pos="1440"/>
      </w:tabs>
      <w:spacing w:before="240" w:after="240"/>
      <w:ind w:left="720"/>
    </w:pPr>
    <w:rPr>
      <w:sz w:val="22"/>
    </w:rPr>
  </w:style>
  <w:style w:type="paragraph" w:styleId="FootnoteText">
    <w:name w:val="footnote text"/>
    <w:basedOn w:val="Normal"/>
    <w:link w:val="FootnoteTextChar"/>
    <w:semiHidden/>
    <w:unhideWhenUsed/>
    <w:rsid w:val="00AE0D1A"/>
    <w:rPr>
      <w:sz w:val="18"/>
      <w:szCs w:val="20"/>
    </w:rPr>
  </w:style>
  <w:style w:type="character" w:customStyle="1" w:styleId="FootnoteTextChar">
    <w:name w:val="Footnote Text Char"/>
    <w:basedOn w:val="DefaultParagraphFont"/>
    <w:link w:val="FootnoteText"/>
    <w:semiHidden/>
    <w:rsid w:val="00AE0D1A"/>
    <w:rPr>
      <w:rFonts w:ascii="Palatino Linotype" w:eastAsia="Times New Roman" w:hAnsi="Palatino Linotype" w:cs="Times New Roman"/>
      <w:sz w:val="18"/>
      <w:szCs w:val="20"/>
    </w:rPr>
  </w:style>
  <w:style w:type="paragraph" w:styleId="CommentText">
    <w:name w:val="annotation text"/>
    <w:basedOn w:val="Normal"/>
    <w:link w:val="CommentTextChar"/>
    <w:uiPriority w:val="99"/>
    <w:semiHidden/>
    <w:unhideWhenUsed/>
    <w:rsid w:val="00AE0D1A"/>
    <w:rPr>
      <w:szCs w:val="20"/>
    </w:rPr>
  </w:style>
  <w:style w:type="character" w:customStyle="1" w:styleId="CommentTextChar">
    <w:name w:val="Comment Text Char"/>
    <w:basedOn w:val="DefaultParagraphFont"/>
    <w:link w:val="CommentText"/>
    <w:uiPriority w:val="99"/>
    <w:semiHidden/>
    <w:rsid w:val="00AE0D1A"/>
    <w:rPr>
      <w:rFonts w:ascii="Palatino Linotype" w:eastAsia="Times New Roman" w:hAnsi="Palatino Linotype" w:cs="Times New Roman"/>
      <w:sz w:val="20"/>
      <w:szCs w:val="20"/>
    </w:rPr>
  </w:style>
  <w:style w:type="paragraph" w:styleId="Header">
    <w:name w:val="header"/>
    <w:basedOn w:val="Normal"/>
    <w:link w:val="HeaderChar"/>
    <w:unhideWhenUsed/>
    <w:rsid w:val="00AE0D1A"/>
    <w:pPr>
      <w:tabs>
        <w:tab w:val="clear" w:pos="720"/>
        <w:tab w:val="center" w:pos="4320"/>
        <w:tab w:val="right" w:pos="8640"/>
      </w:tabs>
    </w:pPr>
  </w:style>
  <w:style w:type="character" w:customStyle="1" w:styleId="HeaderChar">
    <w:name w:val="Header Char"/>
    <w:basedOn w:val="DefaultParagraphFont"/>
    <w:link w:val="Header"/>
    <w:rsid w:val="00AE0D1A"/>
    <w:rPr>
      <w:rFonts w:ascii="Palatino Linotype" w:eastAsia="Times New Roman" w:hAnsi="Palatino Linotype" w:cs="Times New Roman"/>
      <w:sz w:val="20"/>
      <w:szCs w:val="24"/>
    </w:rPr>
  </w:style>
  <w:style w:type="paragraph" w:styleId="Footer">
    <w:name w:val="footer"/>
    <w:basedOn w:val="Normal"/>
    <w:link w:val="FooterChar"/>
    <w:uiPriority w:val="99"/>
    <w:unhideWhenUsed/>
    <w:rsid w:val="00AE0D1A"/>
    <w:pPr>
      <w:tabs>
        <w:tab w:val="clear" w:pos="720"/>
        <w:tab w:val="center" w:pos="4320"/>
        <w:tab w:val="right" w:pos="8640"/>
      </w:tabs>
    </w:pPr>
    <w:rPr>
      <w:rFonts w:ascii="Arial Narrow" w:hAnsi="Arial Narrow"/>
      <w:color w:val="6F6754"/>
      <w:sz w:val="18"/>
    </w:rPr>
  </w:style>
  <w:style w:type="character" w:customStyle="1" w:styleId="FooterChar">
    <w:name w:val="Footer Char"/>
    <w:basedOn w:val="DefaultParagraphFont"/>
    <w:link w:val="Footer"/>
    <w:uiPriority w:val="99"/>
    <w:rsid w:val="00AE0D1A"/>
    <w:rPr>
      <w:rFonts w:ascii="Arial Narrow" w:eastAsia="Times New Roman" w:hAnsi="Arial Narrow" w:cs="Times New Roman"/>
      <w:color w:val="6F6754"/>
      <w:sz w:val="18"/>
      <w:szCs w:val="24"/>
    </w:rPr>
  </w:style>
  <w:style w:type="paragraph" w:styleId="IndexHeading">
    <w:name w:val="index heading"/>
    <w:basedOn w:val="Normal"/>
    <w:next w:val="Index1"/>
    <w:semiHidden/>
    <w:unhideWhenUsed/>
    <w:rsid w:val="00AE0D1A"/>
    <w:pPr>
      <w:tabs>
        <w:tab w:val="left" w:pos="360"/>
        <w:tab w:val="left" w:pos="1080"/>
        <w:tab w:val="left" w:pos="1440"/>
      </w:tabs>
      <w:spacing w:before="240" w:after="240"/>
    </w:pPr>
    <w:rPr>
      <w:rFonts w:asciiTheme="majorHAnsi" w:eastAsiaTheme="majorEastAsia" w:hAnsiTheme="majorHAnsi" w:cstheme="majorBidi"/>
      <w:b/>
      <w:bCs/>
      <w:sz w:val="22"/>
    </w:rPr>
  </w:style>
  <w:style w:type="character" w:customStyle="1" w:styleId="CaptionChar">
    <w:name w:val="Caption Char"/>
    <w:aliases w:val="Table Caption Char"/>
    <w:link w:val="Caption"/>
    <w:uiPriority w:val="99"/>
    <w:locked/>
    <w:rsid w:val="00A8436B"/>
    <w:rPr>
      <w:rFonts w:ascii="Palatino Linotype" w:hAnsi="Palatino Linotype"/>
      <w:b/>
      <w:bCs/>
      <w:color w:val="993300"/>
      <w:sz w:val="20"/>
    </w:rPr>
  </w:style>
  <w:style w:type="paragraph" w:styleId="Caption">
    <w:name w:val="caption"/>
    <w:aliases w:val="Table Caption"/>
    <w:basedOn w:val="Normal"/>
    <w:next w:val="Normal"/>
    <w:link w:val="CaptionChar"/>
    <w:uiPriority w:val="99"/>
    <w:unhideWhenUsed/>
    <w:qFormat/>
    <w:rsid w:val="00A8436B"/>
    <w:pPr>
      <w:keepNext/>
      <w:spacing w:after="120"/>
      <w:jc w:val="center"/>
    </w:pPr>
    <w:rPr>
      <w:rFonts w:eastAsiaTheme="minorHAnsi" w:cstheme="minorBidi"/>
      <w:b/>
      <w:bCs/>
      <w:color w:val="993300"/>
      <w:szCs w:val="22"/>
    </w:rPr>
  </w:style>
  <w:style w:type="paragraph" w:styleId="TableofFigures">
    <w:name w:val="table of figures"/>
    <w:basedOn w:val="Normal"/>
    <w:next w:val="Normal"/>
    <w:uiPriority w:val="99"/>
    <w:unhideWhenUsed/>
    <w:rsid w:val="00AE0D1A"/>
    <w:pPr>
      <w:tabs>
        <w:tab w:val="clear" w:pos="720"/>
        <w:tab w:val="right" w:leader="dot" w:pos="9274"/>
      </w:tabs>
    </w:pPr>
  </w:style>
  <w:style w:type="paragraph" w:styleId="EnvelopeReturn">
    <w:name w:val="envelope return"/>
    <w:basedOn w:val="Normal"/>
    <w:semiHidden/>
    <w:unhideWhenUsed/>
    <w:rsid w:val="00AE0D1A"/>
    <w:pPr>
      <w:tabs>
        <w:tab w:val="left" w:pos="360"/>
        <w:tab w:val="left" w:pos="1080"/>
        <w:tab w:val="left" w:pos="1440"/>
      </w:tabs>
    </w:pPr>
    <w:rPr>
      <w:rFonts w:asciiTheme="majorHAnsi" w:eastAsiaTheme="majorEastAsia" w:hAnsiTheme="majorHAnsi" w:cstheme="majorBidi"/>
      <w:szCs w:val="20"/>
    </w:rPr>
  </w:style>
  <w:style w:type="paragraph" w:styleId="MacroText">
    <w:name w:val="macro"/>
    <w:link w:val="MacroTextChar"/>
    <w:semiHidden/>
    <w:unhideWhenUsed/>
    <w:rsid w:val="00AE0D1A"/>
    <w:pPr>
      <w:tabs>
        <w:tab w:val="left" w:pos="480"/>
        <w:tab w:val="left" w:pos="960"/>
        <w:tab w:val="left" w:pos="1440"/>
        <w:tab w:val="left" w:pos="1920"/>
        <w:tab w:val="left" w:pos="2400"/>
        <w:tab w:val="left" w:pos="2880"/>
        <w:tab w:val="left" w:pos="3360"/>
        <w:tab w:val="left" w:pos="3840"/>
        <w:tab w:val="left" w:pos="4320"/>
      </w:tabs>
      <w:spacing w:before="240" w:after="0" w:line="240" w:lineRule="auto"/>
    </w:pPr>
    <w:rPr>
      <w:rFonts w:ascii="Consolas" w:eastAsia="Times New Roman" w:hAnsi="Consolas" w:cs="Times New Roman"/>
      <w:sz w:val="20"/>
      <w:szCs w:val="20"/>
    </w:rPr>
  </w:style>
  <w:style w:type="character" w:customStyle="1" w:styleId="MacroTextChar">
    <w:name w:val="Macro Text Char"/>
    <w:basedOn w:val="DefaultParagraphFont"/>
    <w:link w:val="MacroText"/>
    <w:semiHidden/>
    <w:rsid w:val="00AE0D1A"/>
    <w:rPr>
      <w:rFonts w:ascii="Consolas" w:eastAsia="Times New Roman" w:hAnsi="Consolas" w:cs="Times New Roman"/>
      <w:sz w:val="20"/>
      <w:szCs w:val="20"/>
    </w:rPr>
  </w:style>
  <w:style w:type="paragraph" w:styleId="List4">
    <w:name w:val="List 4"/>
    <w:basedOn w:val="Normal"/>
    <w:semiHidden/>
    <w:unhideWhenUsed/>
    <w:rsid w:val="00AE0D1A"/>
    <w:pPr>
      <w:tabs>
        <w:tab w:val="left" w:pos="360"/>
        <w:tab w:val="left" w:pos="1080"/>
        <w:tab w:val="left" w:pos="1440"/>
      </w:tabs>
      <w:spacing w:before="240" w:after="240"/>
      <w:ind w:left="1440" w:hanging="360"/>
      <w:contextualSpacing/>
    </w:pPr>
    <w:rPr>
      <w:sz w:val="22"/>
    </w:rPr>
  </w:style>
  <w:style w:type="paragraph" w:styleId="ListBullet3">
    <w:name w:val="List Bullet 3"/>
    <w:basedOn w:val="Normal"/>
    <w:semiHidden/>
    <w:unhideWhenUsed/>
    <w:rsid w:val="00AE0D1A"/>
    <w:pPr>
      <w:tabs>
        <w:tab w:val="left" w:pos="360"/>
        <w:tab w:val="num" w:pos="1080"/>
        <w:tab w:val="left" w:pos="1440"/>
      </w:tabs>
      <w:spacing w:before="240" w:after="240"/>
      <w:ind w:left="1080" w:hanging="360"/>
      <w:contextualSpacing/>
    </w:pPr>
    <w:rPr>
      <w:sz w:val="22"/>
    </w:rPr>
  </w:style>
  <w:style w:type="paragraph" w:styleId="ListNumber4">
    <w:name w:val="List Number 4"/>
    <w:basedOn w:val="Normal"/>
    <w:semiHidden/>
    <w:unhideWhenUsed/>
    <w:rsid w:val="00AE0D1A"/>
    <w:pPr>
      <w:tabs>
        <w:tab w:val="left" w:pos="360"/>
        <w:tab w:val="left" w:pos="1080"/>
        <w:tab w:val="num" w:pos="1440"/>
      </w:tabs>
      <w:spacing w:before="240" w:after="240"/>
      <w:ind w:left="1440" w:hanging="360"/>
      <w:contextualSpacing/>
    </w:pPr>
    <w:rPr>
      <w:sz w:val="22"/>
    </w:rPr>
  </w:style>
  <w:style w:type="paragraph" w:styleId="Title">
    <w:name w:val="Title"/>
    <w:basedOn w:val="Normal"/>
    <w:link w:val="TitleChar"/>
    <w:qFormat/>
    <w:rsid w:val="00AE0D1A"/>
    <w:pPr>
      <w:tabs>
        <w:tab w:val="left" w:pos="360"/>
        <w:tab w:val="left" w:pos="1080"/>
        <w:tab w:val="left" w:pos="1440"/>
      </w:tabs>
    </w:pPr>
    <w:rPr>
      <w:b/>
      <w:bCs/>
      <w:color w:val="6F6754"/>
      <w:sz w:val="36"/>
    </w:rPr>
  </w:style>
  <w:style w:type="character" w:customStyle="1" w:styleId="TitleChar">
    <w:name w:val="Title Char"/>
    <w:basedOn w:val="DefaultParagraphFont"/>
    <w:link w:val="Title"/>
    <w:rsid w:val="00AE0D1A"/>
    <w:rPr>
      <w:rFonts w:ascii="Palatino Linotype" w:eastAsia="Times New Roman" w:hAnsi="Palatino Linotype" w:cs="Times New Roman"/>
      <w:b/>
      <w:bCs/>
      <w:color w:val="6F6754"/>
      <w:sz w:val="36"/>
      <w:szCs w:val="24"/>
    </w:rPr>
  </w:style>
  <w:style w:type="paragraph" w:styleId="Closing">
    <w:name w:val="Closing"/>
    <w:basedOn w:val="Normal"/>
    <w:link w:val="ClosingChar"/>
    <w:semiHidden/>
    <w:unhideWhenUsed/>
    <w:rsid w:val="00AE0D1A"/>
    <w:pPr>
      <w:tabs>
        <w:tab w:val="left" w:pos="360"/>
        <w:tab w:val="left" w:pos="1080"/>
        <w:tab w:val="left" w:pos="1440"/>
      </w:tabs>
      <w:ind w:left="4320"/>
    </w:pPr>
    <w:rPr>
      <w:sz w:val="22"/>
    </w:rPr>
  </w:style>
  <w:style w:type="character" w:customStyle="1" w:styleId="ClosingChar">
    <w:name w:val="Closing Char"/>
    <w:basedOn w:val="DefaultParagraphFont"/>
    <w:link w:val="Closing"/>
    <w:semiHidden/>
    <w:rsid w:val="00AE0D1A"/>
    <w:rPr>
      <w:rFonts w:ascii="Palatino Linotype" w:eastAsia="Times New Roman" w:hAnsi="Palatino Linotype" w:cs="Times New Roman"/>
      <w:szCs w:val="24"/>
    </w:rPr>
  </w:style>
  <w:style w:type="paragraph" w:styleId="BodyText">
    <w:name w:val="Body Text"/>
    <w:basedOn w:val="Normal"/>
    <w:link w:val="BodyTextChar"/>
    <w:semiHidden/>
    <w:unhideWhenUsed/>
    <w:rsid w:val="00AE0D1A"/>
    <w:pPr>
      <w:tabs>
        <w:tab w:val="left" w:pos="360"/>
        <w:tab w:val="left" w:pos="1080"/>
        <w:tab w:val="left" w:pos="1440"/>
      </w:tabs>
      <w:spacing w:before="240" w:after="120"/>
    </w:pPr>
    <w:rPr>
      <w:sz w:val="22"/>
    </w:rPr>
  </w:style>
  <w:style w:type="character" w:customStyle="1" w:styleId="BodyTextChar">
    <w:name w:val="Body Text Char"/>
    <w:basedOn w:val="DefaultParagraphFont"/>
    <w:link w:val="BodyText"/>
    <w:semiHidden/>
    <w:rsid w:val="00AE0D1A"/>
    <w:rPr>
      <w:rFonts w:ascii="Palatino Linotype" w:eastAsia="Times New Roman" w:hAnsi="Palatino Linotype" w:cs="Times New Roman"/>
      <w:szCs w:val="24"/>
    </w:rPr>
  </w:style>
  <w:style w:type="paragraph" w:styleId="BodyTextIndent">
    <w:name w:val="Body Text Indent"/>
    <w:basedOn w:val="Normal"/>
    <w:link w:val="BodyTextIndentChar"/>
    <w:semiHidden/>
    <w:unhideWhenUsed/>
    <w:rsid w:val="00AE0D1A"/>
    <w:pPr>
      <w:tabs>
        <w:tab w:val="left" w:pos="360"/>
        <w:tab w:val="left" w:pos="1080"/>
        <w:tab w:val="left" w:pos="1440"/>
      </w:tabs>
      <w:spacing w:before="240" w:after="120"/>
      <w:ind w:left="360"/>
    </w:pPr>
    <w:rPr>
      <w:sz w:val="22"/>
    </w:rPr>
  </w:style>
  <w:style w:type="character" w:customStyle="1" w:styleId="BodyTextIndentChar">
    <w:name w:val="Body Text Indent Char"/>
    <w:basedOn w:val="DefaultParagraphFont"/>
    <w:link w:val="BodyTextIndent"/>
    <w:semiHidden/>
    <w:rsid w:val="00AE0D1A"/>
    <w:rPr>
      <w:rFonts w:ascii="Palatino Linotype" w:eastAsia="Times New Roman" w:hAnsi="Palatino Linotype" w:cs="Times New Roman"/>
      <w:szCs w:val="24"/>
    </w:rPr>
  </w:style>
  <w:style w:type="paragraph" w:styleId="MessageHeader">
    <w:name w:val="Message Header"/>
    <w:basedOn w:val="Normal"/>
    <w:link w:val="MessageHeaderChar"/>
    <w:semiHidden/>
    <w:unhideWhenUsed/>
    <w:rsid w:val="00AE0D1A"/>
    <w:pPr>
      <w:pBdr>
        <w:top w:val="single" w:sz="6" w:space="1" w:color="auto"/>
        <w:left w:val="single" w:sz="6" w:space="1" w:color="auto"/>
        <w:bottom w:val="single" w:sz="6" w:space="1" w:color="auto"/>
        <w:right w:val="single" w:sz="6" w:space="1" w:color="auto"/>
      </w:pBdr>
      <w:shd w:val="pct20" w:color="auto" w:fill="auto"/>
      <w:tabs>
        <w:tab w:val="left" w:pos="360"/>
        <w:tab w:val="left" w:pos="1080"/>
        <w:tab w:val="left" w:pos="1440"/>
      </w:tabs>
      <w:ind w:left="1080" w:hanging="1080"/>
    </w:pPr>
    <w:rPr>
      <w:rFonts w:asciiTheme="majorHAnsi" w:eastAsiaTheme="majorEastAsia" w:hAnsiTheme="majorHAnsi" w:cstheme="majorBidi"/>
      <w:sz w:val="24"/>
    </w:rPr>
  </w:style>
  <w:style w:type="character" w:customStyle="1" w:styleId="MessageHeaderChar">
    <w:name w:val="Message Header Char"/>
    <w:basedOn w:val="DefaultParagraphFont"/>
    <w:link w:val="MessageHeader"/>
    <w:semiHidden/>
    <w:rsid w:val="00AE0D1A"/>
    <w:rPr>
      <w:rFonts w:asciiTheme="majorHAnsi" w:eastAsiaTheme="majorEastAsia" w:hAnsiTheme="majorHAnsi" w:cstheme="majorBidi"/>
      <w:sz w:val="24"/>
      <w:szCs w:val="24"/>
      <w:shd w:val="pct20" w:color="auto" w:fill="auto"/>
    </w:rPr>
  </w:style>
  <w:style w:type="paragraph" w:styleId="Subtitle">
    <w:name w:val="Subtitle"/>
    <w:basedOn w:val="Normal"/>
    <w:link w:val="SubtitleChar"/>
    <w:qFormat/>
    <w:rsid w:val="00AE0D1A"/>
    <w:pPr>
      <w:tabs>
        <w:tab w:val="left" w:pos="360"/>
        <w:tab w:val="left" w:pos="1080"/>
        <w:tab w:val="left" w:pos="1440"/>
      </w:tabs>
    </w:pPr>
    <w:rPr>
      <w:b/>
      <w:bCs/>
      <w:color w:val="6F6754"/>
      <w:sz w:val="24"/>
    </w:rPr>
  </w:style>
  <w:style w:type="character" w:customStyle="1" w:styleId="SubtitleChar">
    <w:name w:val="Subtitle Char"/>
    <w:basedOn w:val="DefaultParagraphFont"/>
    <w:link w:val="Subtitle"/>
    <w:rsid w:val="00AE0D1A"/>
    <w:rPr>
      <w:rFonts w:ascii="Palatino Linotype" w:eastAsia="Times New Roman" w:hAnsi="Palatino Linotype" w:cs="Times New Roman"/>
      <w:b/>
      <w:bCs/>
      <w:color w:val="6F6754"/>
      <w:sz w:val="24"/>
      <w:szCs w:val="24"/>
    </w:rPr>
  </w:style>
  <w:style w:type="paragraph" w:styleId="Date">
    <w:name w:val="Date"/>
    <w:basedOn w:val="Heading4"/>
    <w:next w:val="Normal"/>
    <w:link w:val="DateChar"/>
    <w:semiHidden/>
    <w:unhideWhenUsed/>
    <w:rsid w:val="00AE0D1A"/>
    <w:pPr>
      <w:keepLines w:val="0"/>
      <w:numPr>
        <w:ilvl w:val="0"/>
        <w:numId w:val="0"/>
      </w:numPr>
      <w:tabs>
        <w:tab w:val="left" w:pos="360"/>
        <w:tab w:val="left" w:pos="1080"/>
        <w:tab w:val="left" w:pos="1440"/>
        <w:tab w:val="left" w:pos="2160"/>
        <w:tab w:val="left" w:pos="2520"/>
        <w:tab w:val="left" w:pos="2880"/>
        <w:tab w:val="left" w:pos="3240"/>
        <w:tab w:val="left" w:pos="3600"/>
        <w:tab w:val="right" w:pos="7200"/>
      </w:tabs>
      <w:spacing w:before="220"/>
    </w:pPr>
    <w:rPr>
      <w:i w:val="0"/>
      <w:iCs w:val="0"/>
      <w:color w:val="6F6754"/>
      <w:kern w:val="0"/>
      <w:sz w:val="24"/>
      <w:szCs w:val="22"/>
    </w:rPr>
  </w:style>
  <w:style w:type="character" w:customStyle="1" w:styleId="DateChar">
    <w:name w:val="Date Char"/>
    <w:basedOn w:val="DefaultParagraphFont"/>
    <w:link w:val="Date"/>
    <w:semiHidden/>
    <w:rsid w:val="00AE0D1A"/>
    <w:rPr>
      <w:rFonts w:ascii="Palatino Linotype" w:eastAsia="Times New Roman" w:hAnsi="Palatino Linotype" w:cs="Times New Roman"/>
      <w:b/>
      <w:bCs/>
      <w:color w:val="6F6754"/>
      <w:sz w:val="24"/>
    </w:rPr>
  </w:style>
  <w:style w:type="paragraph" w:styleId="BodyTextFirstIndent">
    <w:name w:val="Body Text First Indent"/>
    <w:basedOn w:val="BodyText"/>
    <w:link w:val="BodyTextFirstIndentChar"/>
    <w:semiHidden/>
    <w:unhideWhenUsed/>
    <w:rsid w:val="00AE0D1A"/>
    <w:pPr>
      <w:spacing w:after="240"/>
      <w:ind w:firstLine="360"/>
    </w:pPr>
  </w:style>
  <w:style w:type="character" w:customStyle="1" w:styleId="BodyTextFirstIndentChar">
    <w:name w:val="Body Text First Indent Char"/>
    <w:basedOn w:val="BodyTextChar"/>
    <w:link w:val="BodyTextFirstIndent"/>
    <w:semiHidden/>
    <w:rsid w:val="00AE0D1A"/>
    <w:rPr>
      <w:rFonts w:ascii="Palatino Linotype" w:eastAsia="Times New Roman" w:hAnsi="Palatino Linotype" w:cs="Times New Roman"/>
      <w:szCs w:val="24"/>
    </w:rPr>
  </w:style>
  <w:style w:type="paragraph" w:styleId="BodyTextFirstIndent2">
    <w:name w:val="Body Text First Indent 2"/>
    <w:basedOn w:val="BodyTextIndent"/>
    <w:link w:val="BodyTextFirstIndent2Char"/>
    <w:semiHidden/>
    <w:unhideWhenUsed/>
    <w:rsid w:val="00AE0D1A"/>
    <w:pPr>
      <w:spacing w:after="240"/>
      <w:ind w:firstLine="360"/>
    </w:pPr>
  </w:style>
  <w:style w:type="character" w:customStyle="1" w:styleId="BodyTextFirstIndent2Char">
    <w:name w:val="Body Text First Indent 2 Char"/>
    <w:basedOn w:val="BodyTextIndentChar"/>
    <w:link w:val="BodyTextFirstIndent2"/>
    <w:semiHidden/>
    <w:rsid w:val="00AE0D1A"/>
    <w:rPr>
      <w:rFonts w:ascii="Palatino Linotype" w:eastAsia="Times New Roman" w:hAnsi="Palatino Linotype" w:cs="Times New Roman"/>
      <w:szCs w:val="24"/>
    </w:rPr>
  </w:style>
  <w:style w:type="paragraph" w:styleId="BodyTextIndent3">
    <w:name w:val="Body Text Indent 3"/>
    <w:basedOn w:val="Normal"/>
    <w:link w:val="BodyTextIndent3Char"/>
    <w:semiHidden/>
    <w:unhideWhenUsed/>
    <w:rsid w:val="00AE0D1A"/>
    <w:pPr>
      <w:tabs>
        <w:tab w:val="left" w:pos="360"/>
        <w:tab w:val="left" w:pos="1080"/>
        <w:tab w:val="left" w:pos="1440"/>
      </w:tabs>
      <w:spacing w:before="240" w:after="120"/>
      <w:ind w:left="360"/>
    </w:pPr>
    <w:rPr>
      <w:sz w:val="16"/>
      <w:szCs w:val="16"/>
    </w:rPr>
  </w:style>
  <w:style w:type="character" w:customStyle="1" w:styleId="BodyTextIndent3Char">
    <w:name w:val="Body Text Indent 3 Char"/>
    <w:basedOn w:val="DefaultParagraphFont"/>
    <w:link w:val="BodyTextIndent3"/>
    <w:semiHidden/>
    <w:rsid w:val="00AE0D1A"/>
    <w:rPr>
      <w:rFonts w:ascii="Palatino Linotype" w:eastAsia="Times New Roman" w:hAnsi="Palatino Linotype" w:cs="Times New Roman"/>
      <w:sz w:val="16"/>
      <w:szCs w:val="16"/>
    </w:rPr>
  </w:style>
  <w:style w:type="paragraph" w:styleId="BlockText">
    <w:name w:val="Block Text"/>
    <w:basedOn w:val="Normal"/>
    <w:semiHidden/>
    <w:unhideWhenUsed/>
    <w:qFormat/>
    <w:rsid w:val="00AE0D1A"/>
    <w:pPr>
      <w:pBdr>
        <w:top w:val="single" w:sz="2" w:space="10" w:color="4F81BD" w:themeColor="accent1"/>
        <w:left w:val="single" w:sz="2" w:space="10" w:color="4F81BD" w:themeColor="accent1"/>
        <w:bottom w:val="single" w:sz="2" w:space="10" w:color="4F81BD" w:themeColor="accent1"/>
        <w:right w:val="single" w:sz="2" w:space="10" w:color="4F81BD" w:themeColor="accent1"/>
      </w:pBdr>
      <w:tabs>
        <w:tab w:val="left" w:pos="360"/>
        <w:tab w:val="left" w:pos="1080"/>
        <w:tab w:val="left" w:pos="1440"/>
      </w:tabs>
      <w:spacing w:before="240" w:after="240"/>
      <w:ind w:left="1152" w:right="1152"/>
    </w:pPr>
    <w:rPr>
      <w:rFonts w:asciiTheme="minorHAnsi" w:eastAsiaTheme="minorEastAsia" w:hAnsiTheme="minorHAnsi" w:cstheme="minorBidi"/>
      <w:i/>
      <w:iCs/>
      <w:color w:val="4F81BD" w:themeColor="accent1"/>
      <w:sz w:val="22"/>
    </w:rPr>
  </w:style>
  <w:style w:type="paragraph" w:styleId="PlainText">
    <w:name w:val="Plain Text"/>
    <w:basedOn w:val="Normal"/>
    <w:link w:val="PlainTextChar"/>
    <w:uiPriority w:val="99"/>
    <w:semiHidden/>
    <w:unhideWhenUsed/>
    <w:rsid w:val="00AE0D1A"/>
    <w:rPr>
      <w:rFonts w:ascii="Consolas" w:eastAsia="Calibri" w:hAnsi="Consolas"/>
      <w:sz w:val="21"/>
      <w:szCs w:val="21"/>
    </w:rPr>
  </w:style>
  <w:style w:type="character" w:customStyle="1" w:styleId="PlainTextChar">
    <w:name w:val="Plain Text Char"/>
    <w:basedOn w:val="DefaultParagraphFont"/>
    <w:link w:val="PlainText"/>
    <w:uiPriority w:val="99"/>
    <w:semiHidden/>
    <w:rsid w:val="00AE0D1A"/>
    <w:rPr>
      <w:rFonts w:ascii="Consolas" w:eastAsia="Calibri" w:hAnsi="Consolas" w:cs="Times New Roman"/>
      <w:sz w:val="21"/>
      <w:szCs w:val="21"/>
    </w:rPr>
  </w:style>
  <w:style w:type="paragraph" w:styleId="E-mailSignature">
    <w:name w:val="E-mail Signature"/>
    <w:basedOn w:val="Normal"/>
    <w:link w:val="E-mailSignatureChar"/>
    <w:semiHidden/>
    <w:unhideWhenUsed/>
    <w:rsid w:val="00AE0D1A"/>
    <w:pPr>
      <w:tabs>
        <w:tab w:val="left" w:pos="360"/>
        <w:tab w:val="left" w:pos="1080"/>
        <w:tab w:val="left" w:pos="1440"/>
      </w:tabs>
    </w:pPr>
    <w:rPr>
      <w:sz w:val="22"/>
    </w:rPr>
  </w:style>
  <w:style w:type="character" w:customStyle="1" w:styleId="E-mailSignatureChar">
    <w:name w:val="E-mail Signature Char"/>
    <w:basedOn w:val="DefaultParagraphFont"/>
    <w:link w:val="E-mailSignature"/>
    <w:semiHidden/>
    <w:rsid w:val="00AE0D1A"/>
    <w:rPr>
      <w:rFonts w:ascii="Palatino Linotype" w:eastAsia="Times New Roman" w:hAnsi="Palatino Linotype" w:cs="Times New Roman"/>
      <w:szCs w:val="24"/>
    </w:rPr>
  </w:style>
  <w:style w:type="paragraph" w:styleId="CommentSubject">
    <w:name w:val="annotation subject"/>
    <w:basedOn w:val="CommentText"/>
    <w:next w:val="CommentText"/>
    <w:link w:val="CommentSubjectChar"/>
    <w:semiHidden/>
    <w:unhideWhenUsed/>
    <w:rsid w:val="00AE0D1A"/>
    <w:rPr>
      <w:b/>
      <w:bCs/>
    </w:rPr>
  </w:style>
  <w:style w:type="character" w:customStyle="1" w:styleId="CommentSubjectChar">
    <w:name w:val="Comment Subject Char"/>
    <w:basedOn w:val="CommentTextChar"/>
    <w:link w:val="CommentSubject"/>
    <w:semiHidden/>
    <w:rsid w:val="00AE0D1A"/>
    <w:rPr>
      <w:rFonts w:ascii="Palatino Linotype" w:eastAsia="Times New Roman" w:hAnsi="Palatino Linotype" w:cs="Times New Roman"/>
      <w:b/>
      <w:bCs/>
      <w:sz w:val="20"/>
      <w:szCs w:val="20"/>
    </w:rPr>
  </w:style>
  <w:style w:type="paragraph" w:styleId="BalloonText">
    <w:name w:val="Balloon Text"/>
    <w:basedOn w:val="Normal"/>
    <w:link w:val="BalloonTextChar"/>
    <w:semiHidden/>
    <w:unhideWhenUsed/>
    <w:rsid w:val="00AE0D1A"/>
    <w:rPr>
      <w:rFonts w:ascii="Tahoma" w:hAnsi="Tahoma" w:cs="Tahoma"/>
      <w:sz w:val="16"/>
      <w:szCs w:val="16"/>
    </w:rPr>
  </w:style>
  <w:style w:type="character" w:customStyle="1" w:styleId="BalloonTextChar">
    <w:name w:val="Balloon Text Char"/>
    <w:basedOn w:val="DefaultParagraphFont"/>
    <w:link w:val="BalloonText"/>
    <w:semiHidden/>
    <w:rsid w:val="00AE0D1A"/>
    <w:rPr>
      <w:rFonts w:ascii="Tahoma" w:eastAsia="Times New Roman" w:hAnsi="Tahoma" w:cs="Tahoma"/>
      <w:sz w:val="16"/>
      <w:szCs w:val="16"/>
    </w:rPr>
  </w:style>
  <w:style w:type="paragraph" w:styleId="Revision">
    <w:name w:val="Revision"/>
    <w:uiPriority w:val="99"/>
    <w:semiHidden/>
    <w:rsid w:val="00AE0D1A"/>
    <w:pPr>
      <w:tabs>
        <w:tab w:val="left" w:pos="720"/>
      </w:tabs>
      <w:spacing w:after="0" w:line="240" w:lineRule="auto"/>
    </w:pPr>
    <w:rPr>
      <w:rFonts w:ascii="Palatino Linotype" w:eastAsia="Times New Roman" w:hAnsi="Palatino Linotype" w:cs="Times New Roman"/>
      <w:sz w:val="20"/>
      <w:szCs w:val="24"/>
    </w:rPr>
  </w:style>
  <w:style w:type="character" w:customStyle="1" w:styleId="ListParagraphChar">
    <w:name w:val="List Paragraph Char"/>
    <w:aliases w:val="TOC etc. Char"/>
    <w:link w:val="ListParagraph"/>
    <w:uiPriority w:val="34"/>
    <w:locked/>
    <w:rsid w:val="00AE0D1A"/>
    <w:rPr>
      <w:rFonts w:ascii="Palatino Linotype" w:hAnsi="Palatino Linotype"/>
      <w:szCs w:val="24"/>
    </w:rPr>
  </w:style>
  <w:style w:type="paragraph" w:styleId="ListParagraph">
    <w:name w:val="List Paragraph"/>
    <w:aliases w:val="TOC etc."/>
    <w:basedOn w:val="Normal"/>
    <w:link w:val="ListParagraphChar"/>
    <w:uiPriority w:val="34"/>
    <w:qFormat/>
    <w:rsid w:val="00AE0D1A"/>
    <w:pPr>
      <w:ind w:left="720"/>
      <w:contextualSpacing/>
    </w:pPr>
    <w:rPr>
      <w:rFonts w:eastAsiaTheme="minorHAnsi" w:cstheme="minorBidi"/>
      <w:sz w:val="22"/>
    </w:rPr>
  </w:style>
  <w:style w:type="character" w:customStyle="1" w:styleId="TOCHeadingChar">
    <w:name w:val="TOC Heading Char"/>
    <w:link w:val="TOCHeading"/>
    <w:uiPriority w:val="39"/>
    <w:semiHidden/>
    <w:locked/>
    <w:rsid w:val="00AE0D1A"/>
    <w:rPr>
      <w:rFonts w:ascii="Palatino Linotype" w:hAnsi="Palatino Linotype"/>
      <w:b/>
      <w:color w:val="FFFFFF"/>
      <w:kern w:val="28"/>
      <w:position w:val="6"/>
      <w:sz w:val="24"/>
      <w:szCs w:val="24"/>
      <w:shd w:val="clear" w:color="auto" w:fill="B55F00"/>
    </w:rPr>
  </w:style>
  <w:style w:type="paragraph" w:styleId="TOCHeading">
    <w:name w:val="TOC Heading"/>
    <w:next w:val="Normal"/>
    <w:link w:val="TOCHeadingChar"/>
    <w:uiPriority w:val="39"/>
    <w:semiHidden/>
    <w:unhideWhenUsed/>
    <w:qFormat/>
    <w:rsid w:val="00AE0D1A"/>
    <w:pPr>
      <w:keepNext/>
      <w:keepLines/>
      <w:pageBreakBefore/>
      <w:widowControl w:val="0"/>
      <w:shd w:val="clear" w:color="auto" w:fill="B55F00"/>
      <w:tabs>
        <w:tab w:val="left" w:pos="720"/>
        <w:tab w:val="left" w:pos="1267"/>
      </w:tabs>
      <w:spacing w:before="360" w:after="360" w:line="240" w:lineRule="auto"/>
      <w:ind w:left="720" w:hanging="720"/>
    </w:pPr>
    <w:rPr>
      <w:rFonts w:ascii="Palatino Linotype" w:hAnsi="Palatino Linotype"/>
      <w:b/>
      <w:color w:val="FFFFFF"/>
      <w:kern w:val="28"/>
      <w:position w:val="6"/>
      <w:sz w:val="24"/>
      <w:szCs w:val="24"/>
    </w:rPr>
  </w:style>
  <w:style w:type="paragraph" w:customStyle="1" w:styleId="StyleCaptionWhite">
    <w:name w:val="Style Caption + White"/>
    <w:basedOn w:val="Caption"/>
    <w:rsid w:val="00AE0D1A"/>
    <w:pPr>
      <w:spacing w:before="120"/>
    </w:pPr>
    <w:rPr>
      <w:color w:val="FFFFFF"/>
    </w:rPr>
  </w:style>
  <w:style w:type="character" w:customStyle="1" w:styleId="ExecSummaryHead1Char">
    <w:name w:val="Exec Summary Head 1 Char"/>
    <w:link w:val="ExecSummaryHead1"/>
    <w:locked/>
    <w:rsid w:val="00AE0D1A"/>
    <w:rPr>
      <w:rFonts w:ascii="Palatino Linotype" w:hAnsi="Palatino Linotype"/>
      <w:b/>
      <w:color w:val="FFFFFF"/>
      <w:kern w:val="28"/>
      <w:position w:val="6"/>
      <w:sz w:val="24"/>
      <w:szCs w:val="24"/>
      <w:shd w:val="clear" w:color="auto" w:fill="B55F00"/>
    </w:rPr>
  </w:style>
  <w:style w:type="paragraph" w:customStyle="1" w:styleId="ExecSummaryHead1">
    <w:name w:val="Exec Summary Head 1"/>
    <w:basedOn w:val="TOCHeading"/>
    <w:next w:val="Normal"/>
    <w:link w:val="ExecSummaryHead1Char"/>
    <w:qFormat/>
    <w:rsid w:val="00AE0D1A"/>
  </w:style>
  <w:style w:type="paragraph" w:customStyle="1" w:styleId="Bullet0">
    <w:name w:val="Bullet 0"/>
    <w:basedOn w:val="Normal"/>
    <w:autoRedefine/>
    <w:rsid w:val="00AE0D1A"/>
    <w:pPr>
      <w:tabs>
        <w:tab w:val="clear" w:pos="720"/>
        <w:tab w:val="num" w:pos="972"/>
      </w:tabs>
      <w:ind w:left="979" w:hanging="432"/>
    </w:pPr>
    <w:rPr>
      <w:sz w:val="22"/>
    </w:rPr>
  </w:style>
  <w:style w:type="character" w:customStyle="1" w:styleId="PresentedByChar">
    <w:name w:val="Presented By Char"/>
    <w:link w:val="PresentedBy"/>
    <w:locked/>
    <w:rsid w:val="00AE0D1A"/>
    <w:rPr>
      <w:rFonts w:ascii="Palatino Linotype" w:hAnsi="Palatino Linotype"/>
      <w:color w:val="6F6754"/>
      <w:szCs w:val="24"/>
    </w:rPr>
  </w:style>
  <w:style w:type="paragraph" w:customStyle="1" w:styleId="PresentedBy">
    <w:name w:val="Presented By"/>
    <w:basedOn w:val="Normal"/>
    <w:link w:val="PresentedByChar"/>
    <w:rsid w:val="00AE0D1A"/>
    <w:pPr>
      <w:tabs>
        <w:tab w:val="left" w:pos="360"/>
        <w:tab w:val="left" w:pos="1080"/>
        <w:tab w:val="left" w:pos="1440"/>
      </w:tabs>
    </w:pPr>
    <w:rPr>
      <w:rFonts w:eastAsiaTheme="minorHAnsi" w:cstheme="minorBidi"/>
      <w:color w:val="6F6754"/>
      <w:sz w:val="22"/>
    </w:rPr>
  </w:style>
  <w:style w:type="character" w:customStyle="1" w:styleId="TitlePage1Char">
    <w:name w:val="Title Page 1 Char"/>
    <w:link w:val="TitlePage1"/>
    <w:locked/>
    <w:rsid w:val="00AE0D1A"/>
    <w:rPr>
      <w:rFonts w:ascii="Palatino Linotype" w:hAnsi="Palatino Linotype"/>
      <w:b/>
      <w:bCs/>
      <w:color w:val="6F6754"/>
      <w:sz w:val="36"/>
      <w:szCs w:val="24"/>
    </w:rPr>
  </w:style>
  <w:style w:type="paragraph" w:customStyle="1" w:styleId="TitlePage1">
    <w:name w:val="Title Page 1"/>
    <w:basedOn w:val="Normal"/>
    <w:link w:val="TitlePage1Char"/>
    <w:qFormat/>
    <w:rsid w:val="00AE0D1A"/>
    <w:pPr>
      <w:tabs>
        <w:tab w:val="left" w:pos="360"/>
        <w:tab w:val="left" w:pos="1080"/>
        <w:tab w:val="left" w:pos="1440"/>
      </w:tabs>
    </w:pPr>
    <w:rPr>
      <w:rFonts w:eastAsiaTheme="minorHAnsi" w:cstheme="minorBidi"/>
      <w:b/>
      <w:bCs/>
      <w:color w:val="6F6754"/>
      <w:sz w:val="36"/>
    </w:rPr>
  </w:style>
  <w:style w:type="character" w:customStyle="1" w:styleId="TitlePage2Char">
    <w:name w:val="Title Page 2 Char"/>
    <w:link w:val="TitlePage2"/>
    <w:locked/>
    <w:rsid w:val="00AE0D1A"/>
    <w:rPr>
      <w:rFonts w:ascii="Palatino Linotype" w:hAnsi="Palatino Linotype"/>
      <w:b/>
      <w:bCs/>
      <w:color w:val="6F6754"/>
      <w:sz w:val="28"/>
      <w:szCs w:val="28"/>
    </w:rPr>
  </w:style>
  <w:style w:type="paragraph" w:customStyle="1" w:styleId="TitlePage2">
    <w:name w:val="Title Page 2"/>
    <w:basedOn w:val="Normal"/>
    <w:link w:val="TitlePage2Char"/>
    <w:qFormat/>
    <w:rsid w:val="00AE0D1A"/>
    <w:pPr>
      <w:tabs>
        <w:tab w:val="left" w:pos="360"/>
        <w:tab w:val="left" w:pos="1080"/>
        <w:tab w:val="left" w:pos="1440"/>
      </w:tabs>
    </w:pPr>
    <w:rPr>
      <w:rFonts w:eastAsiaTheme="minorHAnsi" w:cstheme="minorBidi"/>
      <w:b/>
      <w:bCs/>
      <w:color w:val="6F6754"/>
      <w:sz w:val="28"/>
      <w:szCs w:val="28"/>
    </w:rPr>
  </w:style>
  <w:style w:type="paragraph" w:customStyle="1" w:styleId="Contactinfo">
    <w:name w:val="Contact info"/>
    <w:basedOn w:val="Normal"/>
    <w:uiPriority w:val="99"/>
    <w:rsid w:val="00AE0D1A"/>
    <w:rPr>
      <w:sz w:val="22"/>
    </w:rPr>
  </w:style>
  <w:style w:type="paragraph" w:customStyle="1" w:styleId="Bullet-ItalicIndent">
    <w:name w:val="Bullet - Italic Indent"/>
    <w:basedOn w:val="Normal"/>
    <w:rsid w:val="00AE0D1A"/>
    <w:pPr>
      <w:numPr>
        <w:numId w:val="2"/>
      </w:numPr>
      <w:tabs>
        <w:tab w:val="left" w:pos="360"/>
        <w:tab w:val="left" w:pos="1080"/>
        <w:tab w:val="left" w:pos="1440"/>
        <w:tab w:val="left" w:pos="1800"/>
        <w:tab w:val="left" w:pos="2160"/>
        <w:tab w:val="left" w:pos="2520"/>
        <w:tab w:val="left" w:pos="2880"/>
        <w:tab w:val="left" w:pos="3240"/>
        <w:tab w:val="left" w:pos="3600"/>
      </w:tabs>
      <w:spacing w:after="120" w:line="213" w:lineRule="auto"/>
      <w:jc w:val="both"/>
    </w:pPr>
    <w:rPr>
      <w:rFonts w:ascii="Arial Narrow" w:hAnsi="Arial Narrow"/>
      <w:noProof/>
      <w:sz w:val="22"/>
    </w:rPr>
  </w:style>
  <w:style w:type="paragraph" w:customStyle="1" w:styleId="TableofContents">
    <w:name w:val="Table of Contents"/>
    <w:basedOn w:val="Normal"/>
    <w:rsid w:val="00AE0D1A"/>
    <w:pPr>
      <w:shd w:val="pct20" w:color="auto" w:fill="FFFFFF"/>
      <w:tabs>
        <w:tab w:val="left" w:pos="-1440"/>
        <w:tab w:val="left" w:pos="-720"/>
        <w:tab w:val="left" w:pos="0"/>
        <w:tab w:val="left" w:pos="360"/>
        <w:tab w:val="left" w:pos="1080"/>
        <w:tab w:val="left" w:pos="1440"/>
        <w:tab w:val="left" w:pos="1800"/>
        <w:tab w:val="left" w:pos="2160"/>
        <w:tab w:val="left" w:pos="2520"/>
        <w:tab w:val="left" w:pos="2880"/>
        <w:tab w:val="left" w:pos="3240"/>
        <w:tab w:val="left" w:pos="3600"/>
        <w:tab w:val="right" w:pos="3690"/>
        <w:tab w:val="left" w:pos="4590"/>
        <w:tab w:val="left" w:pos="5760"/>
      </w:tabs>
      <w:spacing w:before="240" w:after="240"/>
    </w:pPr>
    <w:rPr>
      <w:rFonts w:ascii="Lucida Sans Unicode" w:hAnsi="Lucida Sans Unicode"/>
      <w:b/>
      <w:smallCaps/>
      <w:color w:val="000000"/>
      <w:sz w:val="36"/>
    </w:rPr>
  </w:style>
  <w:style w:type="paragraph" w:customStyle="1" w:styleId="StyleInsideAddressPalatinoLinotype10pt">
    <w:name w:val="Style Inside Address + Palatino Linotype 10 pt"/>
    <w:basedOn w:val="Normal"/>
    <w:rsid w:val="00AE0D1A"/>
    <w:pPr>
      <w:tabs>
        <w:tab w:val="left" w:pos="360"/>
        <w:tab w:val="left" w:pos="1080"/>
        <w:tab w:val="left" w:pos="1440"/>
        <w:tab w:val="left" w:pos="1800"/>
        <w:tab w:val="left" w:pos="2160"/>
        <w:tab w:val="left" w:pos="2520"/>
        <w:tab w:val="left" w:pos="2880"/>
        <w:tab w:val="left" w:pos="3240"/>
        <w:tab w:val="left" w:pos="3600"/>
      </w:tabs>
      <w:spacing w:before="240" w:after="240"/>
      <w:jc w:val="both"/>
    </w:pPr>
    <w:rPr>
      <w:kern w:val="24"/>
      <w:sz w:val="22"/>
      <w:szCs w:val="20"/>
    </w:rPr>
  </w:style>
  <w:style w:type="paragraph" w:customStyle="1" w:styleId="MemoFrame">
    <w:name w:val="Memo Frame"/>
    <w:basedOn w:val="Normal"/>
    <w:rsid w:val="00AE0D1A"/>
    <w:pPr>
      <w:tabs>
        <w:tab w:val="left" w:pos="360"/>
        <w:tab w:val="left" w:pos="1080"/>
        <w:tab w:val="left" w:pos="1440"/>
      </w:tabs>
      <w:spacing w:before="240" w:after="240"/>
    </w:pPr>
    <w:rPr>
      <w:rFonts w:ascii="Arial Narrow" w:hAnsi="Arial Narrow"/>
      <w:b/>
      <w:sz w:val="22"/>
    </w:rPr>
  </w:style>
  <w:style w:type="paragraph" w:customStyle="1" w:styleId="SectionTitle">
    <w:name w:val="Section Title"/>
    <w:basedOn w:val="Normal"/>
    <w:rsid w:val="00AE0D1A"/>
    <w:pPr>
      <w:tabs>
        <w:tab w:val="clear" w:pos="720"/>
        <w:tab w:val="left" w:pos="1267"/>
        <w:tab w:val="left" w:pos="1627"/>
      </w:tabs>
      <w:spacing w:before="240" w:after="240"/>
      <w:ind w:left="1627" w:hanging="1627"/>
    </w:pPr>
    <w:rPr>
      <w:b/>
      <w:sz w:val="24"/>
    </w:rPr>
  </w:style>
  <w:style w:type="paragraph" w:customStyle="1" w:styleId="ResumeHeading1">
    <w:name w:val="Resume Heading 1"/>
    <w:basedOn w:val="Normal"/>
    <w:autoRedefine/>
    <w:rsid w:val="00AE0D1A"/>
    <w:pPr>
      <w:tabs>
        <w:tab w:val="left" w:pos="360"/>
        <w:tab w:val="left" w:pos="1080"/>
        <w:tab w:val="left" w:pos="1440"/>
      </w:tabs>
      <w:spacing w:before="240" w:after="240"/>
    </w:pPr>
    <w:rPr>
      <w:b/>
      <w:sz w:val="24"/>
    </w:rPr>
  </w:style>
  <w:style w:type="paragraph" w:customStyle="1" w:styleId="ResumeName">
    <w:name w:val="Resume Name"/>
    <w:basedOn w:val="Title"/>
    <w:rsid w:val="00AE0D1A"/>
    <w:pPr>
      <w:widowControl w:val="0"/>
      <w:tabs>
        <w:tab w:val="clear" w:pos="360"/>
        <w:tab w:val="clear" w:pos="1080"/>
        <w:tab w:val="clear" w:pos="1440"/>
      </w:tabs>
      <w:snapToGrid w:val="0"/>
    </w:pPr>
    <w:rPr>
      <w:rFonts w:ascii="Times New Roman" w:hAnsi="Times New Roman"/>
      <w:bCs w:val="0"/>
      <w:color w:val="auto"/>
      <w:sz w:val="32"/>
      <w:szCs w:val="20"/>
    </w:rPr>
  </w:style>
  <w:style w:type="paragraph" w:customStyle="1" w:styleId="Publications">
    <w:name w:val="Publications"/>
    <w:basedOn w:val="Normal"/>
    <w:rsid w:val="00AE0D1A"/>
    <w:pPr>
      <w:tabs>
        <w:tab w:val="left" w:pos="360"/>
        <w:tab w:val="left" w:pos="1080"/>
        <w:tab w:val="left" w:pos="1440"/>
      </w:tabs>
      <w:spacing w:before="240" w:after="240"/>
      <w:ind w:left="720" w:hanging="720"/>
      <w:jc w:val="both"/>
    </w:pPr>
    <w:rPr>
      <w:sz w:val="22"/>
      <w:u w:val="single"/>
    </w:rPr>
  </w:style>
  <w:style w:type="paragraph" w:customStyle="1" w:styleId="TOCTitle">
    <w:name w:val="TOC Title"/>
    <w:basedOn w:val="Normal"/>
    <w:autoRedefine/>
    <w:qFormat/>
    <w:rsid w:val="00AE0D1A"/>
    <w:pPr>
      <w:tabs>
        <w:tab w:val="left" w:pos="360"/>
        <w:tab w:val="left" w:pos="1080"/>
        <w:tab w:val="left" w:pos="1440"/>
      </w:tabs>
      <w:spacing w:before="240" w:after="240"/>
    </w:pPr>
    <w:rPr>
      <w:b/>
      <w:sz w:val="24"/>
    </w:rPr>
  </w:style>
  <w:style w:type="paragraph" w:customStyle="1" w:styleId="Bullet-Short">
    <w:name w:val="Bullet - Short"/>
    <w:basedOn w:val="Bullet0"/>
    <w:autoRedefine/>
    <w:qFormat/>
    <w:rsid w:val="00951D88"/>
    <w:pPr>
      <w:numPr>
        <w:numId w:val="3"/>
      </w:numPr>
      <w:spacing w:before="120" w:after="240"/>
      <w:ind w:left="979"/>
    </w:pPr>
    <w:rPr>
      <w:sz w:val="20"/>
    </w:rPr>
  </w:style>
  <w:style w:type="paragraph" w:customStyle="1" w:styleId="Bullets">
    <w:name w:val="Bullets"/>
    <w:basedOn w:val="Normal"/>
    <w:rsid w:val="00AE0D1A"/>
    <w:pPr>
      <w:numPr>
        <w:numId w:val="5"/>
      </w:numPr>
      <w:tabs>
        <w:tab w:val="clear" w:pos="720"/>
      </w:tabs>
      <w:spacing w:before="240"/>
    </w:pPr>
    <w:rPr>
      <w:rFonts w:ascii="Times New Roman" w:hAnsi="Times New Roman"/>
      <w:sz w:val="22"/>
      <w:szCs w:val="22"/>
    </w:rPr>
  </w:style>
  <w:style w:type="character" w:styleId="FootnoteReference">
    <w:name w:val="footnote reference"/>
    <w:semiHidden/>
    <w:unhideWhenUsed/>
    <w:rsid w:val="00AE0D1A"/>
    <w:rPr>
      <w:vertAlign w:val="superscript"/>
    </w:rPr>
  </w:style>
  <w:style w:type="character" w:styleId="CommentReference">
    <w:name w:val="annotation reference"/>
    <w:uiPriority w:val="99"/>
    <w:semiHidden/>
    <w:unhideWhenUsed/>
    <w:rsid w:val="00AE0D1A"/>
    <w:rPr>
      <w:sz w:val="16"/>
      <w:szCs w:val="16"/>
    </w:rPr>
  </w:style>
  <w:style w:type="character" w:styleId="PlaceholderText">
    <w:name w:val="Placeholder Text"/>
    <w:uiPriority w:val="99"/>
    <w:semiHidden/>
    <w:rsid w:val="00AE0D1A"/>
    <w:rPr>
      <w:color w:val="808080"/>
    </w:rPr>
  </w:style>
  <w:style w:type="character" w:styleId="SubtleEmphasis">
    <w:name w:val="Subtle Emphasis"/>
    <w:basedOn w:val="DefaultParagraphFont"/>
    <w:uiPriority w:val="19"/>
    <w:qFormat/>
    <w:rsid w:val="00AE0D1A"/>
    <w:rPr>
      <w:i/>
      <w:iCs/>
      <w:color w:val="808080" w:themeColor="text1" w:themeTint="7F"/>
    </w:rPr>
  </w:style>
  <w:style w:type="character" w:customStyle="1" w:styleId="CoverText">
    <w:name w:val="Cover Text"/>
    <w:rsid w:val="00AE0D1A"/>
    <w:rPr>
      <w:color w:val="6F6754"/>
    </w:rPr>
  </w:style>
  <w:style w:type="character" w:customStyle="1" w:styleId="acicollapsed1">
    <w:name w:val="acicollapsed1"/>
    <w:rsid w:val="00AE0D1A"/>
    <w:rPr>
      <w:vanish/>
      <w:webHidden w:val="0"/>
      <w:specVanish/>
    </w:rPr>
  </w:style>
  <w:style w:type="table" w:styleId="TableClassic2">
    <w:name w:val="Table Classic 2"/>
    <w:basedOn w:val="TableNormal"/>
    <w:semiHidden/>
    <w:unhideWhenUsed/>
    <w:rsid w:val="00AE0D1A"/>
    <w:pPr>
      <w:tabs>
        <w:tab w:val="left" w:pos="360"/>
        <w:tab w:val="left" w:pos="720"/>
        <w:tab w:val="left" w:pos="1080"/>
        <w:tab w:val="left" w:pos="1440"/>
      </w:tabs>
      <w:spacing w:after="0" w:line="240" w:lineRule="auto"/>
    </w:pPr>
    <w:rPr>
      <w:rFonts w:ascii="Arial" w:eastAsia="Times New Roman" w:hAnsi="Arial" w:cs="Times New Roman"/>
      <w:sz w:val="18"/>
      <w:szCs w:val="18"/>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15" w:type="dxa"/>
        <w:bottom w:w="0" w:type="dxa"/>
        <w:right w:w="115" w:type="dxa"/>
      </w:tblCellMar>
    </w:tblPr>
    <w:tblStylePr w:type="firstRow">
      <w:rPr>
        <w:rFonts w:ascii="Arial" w:hAnsi="Arial" w:cs="Arial" w:hint="default"/>
        <w:b/>
        <w:i w:val="0"/>
        <w:color w:val="auto"/>
        <w:sz w:val="18"/>
        <w:szCs w:val="18"/>
      </w:rPr>
      <w:tblPr/>
      <w:tcPr>
        <w:tcBorders>
          <w:top w:val="single" w:sz="6" w:space="0" w:color="000000"/>
          <w:left w:val="single" w:sz="6" w:space="0" w:color="000000"/>
          <w:bottom w:val="single" w:sz="6" w:space="0" w:color="000000"/>
          <w:right w:val="single" w:sz="6" w:space="0" w:color="000000"/>
          <w:insideH w:val="single" w:sz="6" w:space="0" w:color="000000"/>
          <w:insideV w:val="single" w:sz="6" w:space="0" w:color="000000"/>
          <w:tl2br w:val="nil"/>
          <w:tr2bl w:val="nil"/>
        </w:tcBorders>
        <w:shd w:val="clear" w:color="auto" w:fill="CCCCFF"/>
      </w:tcPr>
    </w:tblStylePr>
    <w:tblStylePr w:type="lastRow">
      <w:rPr>
        <w:rFonts w:ascii="Arial" w:hAnsi="Arial" w:cs="Arial" w:hint="default"/>
        <w:color w:val="auto"/>
        <w:sz w:val="18"/>
        <w:szCs w:val="18"/>
      </w:rPr>
      <w:tblPr/>
      <w:tcPr>
        <w:tcBorders>
          <w:top w:val="single" w:sz="6" w:space="0" w:color="000000"/>
          <w:tl2br w:val="none" w:sz="0" w:space="0" w:color="auto"/>
          <w:tr2bl w:val="none" w:sz="0" w:space="0" w:color="auto"/>
        </w:tcBorders>
      </w:tcPr>
    </w:tblStylePr>
    <w:tblStylePr w:type="firstCol">
      <w:rPr>
        <w:rFonts w:ascii="Arial" w:hAnsi="Arial" w:cs="Arial" w:hint="default"/>
        <w:b/>
        <w:bCs/>
        <w:sz w:val="18"/>
        <w:szCs w:val="18"/>
      </w:rPr>
      <w:tblPr/>
      <w:tcPr>
        <w:shd w:val="clear" w:color="auto" w:fill="FFFF99"/>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List4">
    <w:name w:val="Table List 4"/>
    <w:basedOn w:val="TableNormal"/>
    <w:semiHidden/>
    <w:unhideWhenUsed/>
    <w:rsid w:val="00AE0D1A"/>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7">
    <w:name w:val="Table List 7"/>
    <w:basedOn w:val="TableNormal"/>
    <w:semiHidden/>
    <w:unhideWhenUsed/>
    <w:rsid w:val="00AE0D1A"/>
    <w:pPr>
      <w:spacing w:after="0" w:line="240" w:lineRule="auto"/>
    </w:pPr>
    <w:rPr>
      <w:rFonts w:ascii="Times New Roman" w:eastAsia="Times New Roman" w:hAnsi="Times New Roman" w:cs="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Grid">
    <w:name w:val="Table Grid"/>
    <w:basedOn w:val="TableNormal"/>
    <w:rsid w:val="00AE0D1A"/>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EnergyTable">
    <w:name w:val="Energy Table"/>
    <w:basedOn w:val="TableNormal"/>
    <w:uiPriority w:val="99"/>
    <w:qFormat/>
    <w:rsid w:val="00AE0D1A"/>
    <w:pPr>
      <w:spacing w:after="0" w:line="240" w:lineRule="auto"/>
    </w:pPr>
    <w:rPr>
      <w:rFonts w:ascii="Arial Narrow" w:eastAsia="Times New Roman" w:hAnsi="Arial Narrow" w:cs="Times New Roman"/>
      <w:sz w:val="20"/>
      <w:szCs w:val="20"/>
    </w:rPr>
    <w:tblPr>
      <w:tblStyleRowBandSize w:val="1"/>
      <w:tblInd w:w="0" w:type="dxa"/>
      <w:tblBorders>
        <w:top w:val="single" w:sz="8" w:space="0" w:color="DDD9C3"/>
        <w:bottom w:val="single" w:sz="8" w:space="0" w:color="92876D"/>
        <w:insideH w:val="single" w:sz="8" w:space="0" w:color="DDD9C3"/>
      </w:tblBorders>
      <w:tblCellMar>
        <w:top w:w="0" w:type="dxa"/>
        <w:left w:w="108" w:type="dxa"/>
        <w:bottom w:w="0" w:type="dxa"/>
        <w:right w:w="108" w:type="dxa"/>
      </w:tblCellMar>
    </w:tblPr>
    <w:tblStylePr w:type="firstRow">
      <w:rPr>
        <w:rFonts w:ascii="Tahoma" w:hAnsi="Tahoma" w:cs="Tahoma" w:hint="default"/>
        <w:b/>
        <w:color w:val="FFFFFF"/>
      </w:rPr>
      <w:tblPr/>
      <w:tcPr>
        <w:tcBorders>
          <w:bottom w:val="single" w:sz="8" w:space="0" w:color="C5A41C"/>
        </w:tcBorders>
        <w:shd w:val="clear" w:color="auto" w:fill="92876D"/>
      </w:tcPr>
    </w:tblStylePr>
    <w:tblStylePr w:type="lastRow">
      <w:tblPr/>
      <w:tcPr>
        <w:tcBorders>
          <w:top w:val="double" w:sz="4" w:space="0" w:color="92876D"/>
        </w:tcBorders>
      </w:tcPr>
    </w:tblStylePr>
    <w:tblStylePr w:type="firstCol">
      <w:rPr>
        <w:rFonts w:ascii="Tahoma" w:hAnsi="Tahoma" w:cs="Tahoma" w:hint="default"/>
        <w:b w:val="0"/>
        <w:color w:val="auto"/>
      </w:rPr>
    </w:tblStylePr>
    <w:tblStylePr w:type="band2Horz">
      <w:tblPr/>
      <w:tcPr>
        <w:shd w:val="clear" w:color="auto" w:fill="DDD9C3"/>
      </w:tcPr>
    </w:tblStylePr>
  </w:style>
  <w:style w:type="table" w:customStyle="1" w:styleId="EnergyPracticeTable">
    <w:name w:val="Energy Practice Table"/>
    <w:basedOn w:val="TableNormal"/>
    <w:uiPriority w:val="99"/>
    <w:qFormat/>
    <w:rsid w:val="00AE0D1A"/>
    <w:pPr>
      <w:spacing w:before="60" w:after="60" w:line="240" w:lineRule="auto"/>
      <w:jc w:val="center"/>
    </w:pPr>
    <w:rPr>
      <w:rFonts w:ascii="Palatino Linotype" w:eastAsia="Times New Roman" w:hAnsi="Palatino Linotype" w:cs="Times New Roman"/>
      <w:sz w:val="20"/>
      <w:szCs w:val="20"/>
    </w:rPr>
    <w:tblPr>
      <w:tblInd w:w="0" w:type="dxa"/>
      <w:tblBorders>
        <w:bottom w:val="single" w:sz="4" w:space="0" w:color="A29784"/>
        <w:insideH w:val="single" w:sz="4" w:space="0" w:color="A29784"/>
        <w:insideV w:val="single" w:sz="4" w:space="0" w:color="A29784"/>
      </w:tblBorders>
      <w:tblCellMar>
        <w:top w:w="0" w:type="dxa"/>
        <w:left w:w="108" w:type="dxa"/>
        <w:bottom w:w="0" w:type="dxa"/>
        <w:right w:w="108" w:type="dxa"/>
      </w:tblCellMar>
    </w:tblPr>
    <w:tcPr>
      <w:vAlign w:val="center"/>
    </w:tcPr>
    <w:tblStylePr w:type="firstRow">
      <w:pPr>
        <w:wordWrap/>
        <w:spacing w:beforeLines="0" w:before="100" w:beforeAutospacing="1" w:afterLines="0" w:after="100" w:afterAutospacing="1" w:line="240" w:lineRule="auto"/>
        <w:jc w:val="center"/>
      </w:pPr>
      <w:rPr>
        <w:rFonts w:ascii="Tahoma" w:hAnsi="Tahoma" w:cs="Tahoma" w:hint="default"/>
        <w:b/>
        <w:color w:val="FFFFFF"/>
        <w:sz w:val="20"/>
        <w:szCs w:val="20"/>
      </w:rPr>
      <w:tblPr/>
      <w:tcPr>
        <w:tcBorders>
          <w:top w:val="nil"/>
          <w:left w:val="nil"/>
          <w:bottom w:val="single" w:sz="4" w:space="0" w:color="993300"/>
          <w:right w:val="nil"/>
          <w:insideH w:val="nil"/>
          <w:insideV w:val="single" w:sz="4" w:space="0" w:color="FFFFFF"/>
          <w:tl2br w:val="nil"/>
          <w:tr2bl w:val="nil"/>
        </w:tcBorders>
        <w:shd w:val="clear" w:color="auto" w:fill="A29784"/>
        <w:vAlign w:val="both"/>
      </w:tcPr>
    </w:tblStylePr>
    <w:tblStylePr w:type="firstCol">
      <w:pPr>
        <w:wordWrap/>
        <w:spacing w:beforeLines="0" w:before="100" w:beforeAutospacing="1" w:afterLines="0" w:after="100" w:afterAutospacing="1" w:line="240" w:lineRule="auto"/>
        <w:jc w:val="left"/>
      </w:pPr>
      <w:rPr>
        <w:rFonts w:ascii="Tahoma" w:hAnsi="Tahoma" w:cs="Tahoma" w:hint="default"/>
        <w:color w:val="auto"/>
        <w:sz w:val="20"/>
        <w:szCs w:val="20"/>
      </w:rPr>
    </w:tblStylePr>
  </w:style>
  <w:style w:type="table" w:customStyle="1" w:styleId="NCITable">
    <w:name w:val="NCI Table"/>
    <w:basedOn w:val="TableNormal"/>
    <w:uiPriority w:val="99"/>
    <w:qFormat/>
    <w:rsid w:val="00AE0D1A"/>
    <w:pPr>
      <w:spacing w:after="0" w:line="240" w:lineRule="auto"/>
    </w:pPr>
    <w:rPr>
      <w:rFonts w:ascii="Times New Roman" w:eastAsia="Times New Roman" w:hAnsi="Times New Roman" w:cs="Times New Roman"/>
      <w:sz w:val="20"/>
      <w:szCs w:val="20"/>
    </w:rPr>
    <w:tblPr>
      <w:tblInd w:w="0" w:type="dxa"/>
      <w:tblCellMar>
        <w:top w:w="0" w:type="dxa"/>
        <w:left w:w="108" w:type="dxa"/>
        <w:bottom w:w="0" w:type="dxa"/>
        <w:right w:w="108" w:type="dxa"/>
      </w:tblCellMar>
    </w:tblPr>
    <w:tblStylePr w:type="firstRow">
      <w:rPr>
        <w:rFonts w:ascii="CG Times" w:hAnsi="CG Times" w:cs="Times New Roman" w:hint="default"/>
        <w:color w:val="FFFFFF" w:themeColor="background1"/>
        <w:sz w:val="20"/>
        <w:szCs w:val="20"/>
      </w:rPr>
      <w:tblPr/>
      <w:tcPr>
        <w:tcBorders>
          <w:insideH w:val="nil"/>
          <w:insideV w:val="nil"/>
        </w:tcBorders>
      </w:tcPr>
    </w:tblStylePr>
  </w:style>
  <w:style w:type="table" w:customStyle="1" w:styleId="Style2">
    <w:name w:val="Style2"/>
    <w:basedOn w:val="TableNormal"/>
    <w:uiPriority w:val="99"/>
    <w:qFormat/>
    <w:rsid w:val="00AE0D1A"/>
    <w:pPr>
      <w:spacing w:after="0" w:line="240" w:lineRule="auto"/>
    </w:pPr>
    <w:rPr>
      <w:rFonts w:ascii="Times New Roman" w:eastAsia="Times New Roman" w:hAnsi="Times New Roman" w:cs="Times New Roman"/>
      <w:sz w:val="20"/>
      <w:szCs w:val="20"/>
    </w:rPr>
    <w:tblPr>
      <w:tblInd w:w="0" w:type="dxa"/>
      <w:tblCellMar>
        <w:top w:w="0" w:type="dxa"/>
        <w:left w:w="108" w:type="dxa"/>
        <w:bottom w:w="0" w:type="dxa"/>
        <w:right w:w="108" w:type="dxa"/>
      </w:tblCellMar>
    </w:tblPr>
  </w:style>
  <w:style w:type="table" w:customStyle="1" w:styleId="Style3">
    <w:name w:val="Style3"/>
    <w:basedOn w:val="TableNormal"/>
    <w:uiPriority w:val="99"/>
    <w:qFormat/>
    <w:rsid w:val="00AE0D1A"/>
    <w:pPr>
      <w:spacing w:after="0" w:line="240" w:lineRule="auto"/>
      <w:jc w:val="center"/>
    </w:pPr>
    <w:rPr>
      <w:rFonts w:ascii="Palatino Linotype" w:eastAsia="Times New Roman" w:hAnsi="Palatino Linotype" w:cs="Times New Roman"/>
      <w:szCs w:val="20"/>
    </w:rPr>
    <w:tblPr>
      <w:tblInd w:w="0" w:type="dxa"/>
      <w:tblBorders>
        <w:bottom w:val="single" w:sz="4" w:space="0" w:color="A29784"/>
        <w:insideH w:val="single" w:sz="4" w:space="0" w:color="A29784"/>
        <w:insideV w:val="single" w:sz="4" w:space="0" w:color="A29784"/>
      </w:tblBorders>
      <w:tblCellMar>
        <w:top w:w="0" w:type="dxa"/>
        <w:left w:w="108" w:type="dxa"/>
        <w:bottom w:w="0" w:type="dxa"/>
        <w:right w:w="108" w:type="dxa"/>
      </w:tblCellMar>
    </w:tblPr>
    <w:tcPr>
      <w:vAlign w:val="center"/>
    </w:tcPr>
    <w:tblStylePr w:type="firstRow">
      <w:pPr>
        <w:wordWrap/>
        <w:spacing w:beforeLines="0" w:before="100" w:beforeAutospacing="1" w:afterLines="0" w:after="100" w:afterAutospacing="1" w:line="240" w:lineRule="auto"/>
        <w:jc w:val="center"/>
      </w:pPr>
      <w:rPr>
        <w:rFonts w:ascii="CG Times" w:hAnsi="CG Times" w:hint="default"/>
        <w:b/>
        <w:color w:val="FFFFFF" w:themeColor="background1"/>
        <w:sz w:val="22"/>
        <w:szCs w:val="22"/>
      </w:rPr>
      <w:tblPr/>
      <w:tcPr>
        <w:tcBorders>
          <w:top w:val="nil"/>
          <w:left w:val="nil"/>
          <w:bottom w:val="nil"/>
          <w:right w:val="nil"/>
          <w:insideH w:val="nil"/>
          <w:insideV w:val="single" w:sz="4" w:space="0" w:color="FFFFFF" w:themeColor="background1"/>
          <w:tl2br w:val="nil"/>
          <w:tr2bl w:val="nil"/>
        </w:tcBorders>
        <w:shd w:val="clear" w:color="auto" w:fill="A29784"/>
        <w:vAlign w:val="both"/>
      </w:tcPr>
    </w:tblStylePr>
    <w:tblStylePr w:type="firstCol">
      <w:pPr>
        <w:wordWrap/>
        <w:spacing w:beforeLines="0" w:before="100" w:beforeAutospacing="1" w:afterLines="0" w:after="100" w:afterAutospacing="1" w:line="240" w:lineRule="auto"/>
        <w:jc w:val="left"/>
      </w:pPr>
      <w:rPr>
        <w:rFonts w:ascii="CG Times" w:hAnsi="CG Times" w:hint="default"/>
        <w:color w:val="auto"/>
        <w:sz w:val="22"/>
        <w:szCs w:val="22"/>
      </w:rPr>
    </w:tblStylePr>
  </w:style>
  <w:style w:type="character" w:styleId="Strong">
    <w:name w:val="Strong"/>
    <w:basedOn w:val="DefaultParagraphFont"/>
    <w:uiPriority w:val="22"/>
    <w:qFormat/>
    <w:rsid w:val="00AE0D1A"/>
    <w:rPr>
      <w:b/>
      <w:bCs/>
    </w:rPr>
  </w:style>
  <w:style w:type="numbering" w:customStyle="1" w:styleId="StyleBulleted9">
    <w:name w:val="Style Bulleted9"/>
    <w:rsid w:val="00AE0D1A"/>
    <w:pPr>
      <w:numPr>
        <w:numId w:val="3"/>
      </w:numPr>
    </w:pPr>
  </w:style>
  <w:style w:type="numbering" w:customStyle="1" w:styleId="StyleNumberedLeft025Hanging025">
    <w:name w:val="Style Numbered Left:  0.25&quot; Hanging:  0.25&quot;"/>
    <w:rsid w:val="00AE0D1A"/>
    <w:pPr>
      <w:numPr>
        <w:numId w:val="6"/>
      </w:numPr>
    </w:pPr>
  </w:style>
  <w:style w:type="numbering" w:customStyle="1" w:styleId="StyleBulleted">
    <w:name w:val="Style Bulleted"/>
    <w:rsid w:val="00AE0D1A"/>
    <w:pPr>
      <w:numPr>
        <w:numId w:val="7"/>
      </w:numPr>
    </w:pPr>
  </w:style>
  <w:style w:type="numbering" w:customStyle="1" w:styleId="StyleBulleted6">
    <w:name w:val="Style Bulleted6"/>
    <w:rsid w:val="00AE0D1A"/>
    <w:pPr>
      <w:numPr>
        <w:numId w:val="8"/>
      </w:numPr>
    </w:pPr>
  </w:style>
  <w:style w:type="numbering" w:customStyle="1" w:styleId="StyleBulletedLeft0Hanging03">
    <w:name w:val="Style Bulleted Left:  0&quot; Hanging:  0.3&quot;"/>
    <w:rsid w:val="00AE0D1A"/>
    <w:pPr>
      <w:numPr>
        <w:numId w:val="9"/>
      </w:numPr>
    </w:pPr>
  </w:style>
  <w:style w:type="numbering" w:customStyle="1" w:styleId="Style1">
    <w:name w:val="Style1"/>
    <w:uiPriority w:val="99"/>
    <w:rsid w:val="00AE0D1A"/>
    <w:pPr>
      <w:numPr>
        <w:numId w:val="1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008043">
      <w:bodyDiv w:val="1"/>
      <w:marLeft w:val="0"/>
      <w:marRight w:val="0"/>
      <w:marTop w:val="0"/>
      <w:marBottom w:val="0"/>
      <w:divBdr>
        <w:top w:val="none" w:sz="0" w:space="0" w:color="auto"/>
        <w:left w:val="none" w:sz="0" w:space="0" w:color="auto"/>
        <w:bottom w:val="none" w:sz="0" w:space="0" w:color="auto"/>
        <w:right w:val="none" w:sz="0" w:space="0" w:color="auto"/>
      </w:divBdr>
    </w:div>
    <w:div w:id="1633631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hyperlink" Target="mailto:randy.gunn@navigant.com" TargetMode="External"/><Relationship Id="rId26" Type="http://schemas.openxmlformats.org/officeDocument/2006/relationships/chart" Target="charts/chart1.xml"/><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4.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mailto:SVandeGrift@opiniondynamics.com" TargetMode="External"/><Relationship Id="rId29"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3.png"/><Relationship Id="rId32"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2.png"/><Relationship Id="rId28" Type="http://schemas.openxmlformats.org/officeDocument/2006/relationships/chart" Target="charts/chart3.xml"/><Relationship Id="rId10" Type="http://schemas.openxmlformats.org/officeDocument/2006/relationships/footnotes" Target="footnotes.xml"/><Relationship Id="rId19" Type="http://schemas.openxmlformats.org/officeDocument/2006/relationships/hyperlink" Target="mailto:jeff.erickson@navigant.com" TargetMode="External"/><Relationship Id="rId31"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1.png"/><Relationship Id="rId27" Type="http://schemas.openxmlformats.org/officeDocument/2006/relationships/chart" Target="charts/chart2.xml"/><Relationship Id="rId30" Type="http://schemas.openxmlformats.org/officeDocument/2006/relationships/oleObject" Target="embeddings/oleObject1.bin"/></Relationships>
</file>

<file path=word/charts/_rels/chart1.xml.rels><?xml version="1.0" encoding="UTF-8" standalone="yes"?>
<Relationships xmlns="http://schemas.openxmlformats.org/package/2006/relationships"><Relationship Id="rId1" Type="http://schemas.openxmlformats.org/officeDocument/2006/relationships/oleObject" Target="file:///C:\Users\tstanton\Documents\Nicor%20Home%20Energy%20Efficiency%20Rebate\Billing%20Analysis\Nicor_Gas_Disaggregation_Tool_2013_Data_w_Stats_3.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tstanton\Documents\Nicor%20Home%20Energy%20Efficiency%20Rebate\Billing%20Analysis\Nicor_Gas_Disaggregation_Tool_2013_Data_w_Stats_3.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tstanton\Documents\Nicor%20Home%20Energy%20Efficiency%20Rebate\Billing%20Analysis\Nicor_Gas_Disaggregation_Tool_2013_Data_w_Stats_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Billing Data: 2012-2013</a:t>
            </a:r>
          </a:p>
        </c:rich>
      </c:tx>
      <c:layout>
        <c:manualLayout>
          <c:xMode val="edge"/>
          <c:yMode val="edge"/>
          <c:x val="0.3090208988152956"/>
          <c:y val="3.3112800264740727E-3"/>
        </c:manualLayout>
      </c:layout>
      <c:overlay val="0"/>
    </c:title>
    <c:autoTitleDeleted val="0"/>
    <c:plotArea>
      <c:layout>
        <c:manualLayout>
          <c:layoutTarget val="inner"/>
          <c:xMode val="edge"/>
          <c:yMode val="edge"/>
          <c:x val="0.20146507152994397"/>
          <c:y val="0.14711837868552308"/>
          <c:w val="0.74916519107168023"/>
          <c:h val="0.51306168318706991"/>
        </c:manualLayout>
      </c:layout>
      <c:areaChart>
        <c:grouping val="stacked"/>
        <c:varyColors val="0"/>
        <c:ser>
          <c:idx val="1"/>
          <c:order val="0"/>
          <c:spPr>
            <a:solidFill>
              <a:schemeClr val="accent1"/>
            </a:solidFill>
            <a:ln w="25400">
              <a:noFill/>
            </a:ln>
          </c:spPr>
          <c:cat>
            <c:strRef>
              <c:f>Calibration!$A$3:$A$14</c:f>
              <c:strCache>
                <c:ptCount val="12"/>
                <c:pt idx="0">
                  <c:v>Jul</c:v>
                </c:pt>
                <c:pt idx="1">
                  <c:v>Aug</c:v>
                </c:pt>
                <c:pt idx="2">
                  <c:v>Sep</c:v>
                </c:pt>
                <c:pt idx="3">
                  <c:v>Oct</c:v>
                </c:pt>
                <c:pt idx="4">
                  <c:v>Nov</c:v>
                </c:pt>
                <c:pt idx="5">
                  <c:v>Dec</c:v>
                </c:pt>
                <c:pt idx="6">
                  <c:v>Jan</c:v>
                </c:pt>
                <c:pt idx="7">
                  <c:v>Feb</c:v>
                </c:pt>
                <c:pt idx="8">
                  <c:v>Mar</c:v>
                </c:pt>
                <c:pt idx="9">
                  <c:v>Apr</c:v>
                </c:pt>
                <c:pt idx="10">
                  <c:v>May</c:v>
                </c:pt>
                <c:pt idx="11">
                  <c:v>Jun</c:v>
                </c:pt>
              </c:strCache>
            </c:strRef>
          </c:cat>
          <c:val>
            <c:numRef>
              <c:f>Calibration!$C$3:$C$14</c:f>
              <c:numCache>
                <c:formatCode>0.0</c:formatCode>
                <c:ptCount val="12"/>
                <c:pt idx="0">
                  <c:v>19.829715654753315</c:v>
                </c:pt>
                <c:pt idx="1">
                  <c:v>19.829715654753315</c:v>
                </c:pt>
                <c:pt idx="2">
                  <c:v>19.399191491312916</c:v>
                </c:pt>
                <c:pt idx="3">
                  <c:v>21.661351898866485</c:v>
                </c:pt>
                <c:pt idx="4">
                  <c:v>22.548029632726934</c:v>
                </c:pt>
                <c:pt idx="5">
                  <c:v>25.030338378235196</c:v>
                </c:pt>
                <c:pt idx="6">
                  <c:v>26.366463359731267</c:v>
                </c:pt>
                <c:pt idx="7">
                  <c:v>24.589201918046744</c:v>
                </c:pt>
                <c:pt idx="8">
                  <c:v>25.829593994328587</c:v>
                </c:pt>
                <c:pt idx="9">
                  <c:v>24.039307371426887</c:v>
                </c:pt>
                <c:pt idx="10">
                  <c:v>23.19557352314937</c:v>
                </c:pt>
                <c:pt idx="11">
                  <c:v>24.159720971483168</c:v>
                </c:pt>
              </c:numCache>
            </c:numRef>
          </c:val>
        </c:ser>
        <c:ser>
          <c:idx val="0"/>
          <c:order val="1"/>
          <c:spPr>
            <a:solidFill>
              <a:schemeClr val="accent2"/>
            </a:solidFill>
          </c:spPr>
          <c:cat>
            <c:strRef>
              <c:f>Calibration!$A$3:$A$14</c:f>
              <c:strCache>
                <c:ptCount val="12"/>
                <c:pt idx="0">
                  <c:v>Jul</c:v>
                </c:pt>
                <c:pt idx="1">
                  <c:v>Aug</c:v>
                </c:pt>
                <c:pt idx="2">
                  <c:v>Sep</c:v>
                </c:pt>
                <c:pt idx="3">
                  <c:v>Oct</c:v>
                </c:pt>
                <c:pt idx="4">
                  <c:v>Nov</c:v>
                </c:pt>
                <c:pt idx="5">
                  <c:v>Dec</c:v>
                </c:pt>
                <c:pt idx="6">
                  <c:v>Jan</c:v>
                </c:pt>
                <c:pt idx="7">
                  <c:v>Feb</c:v>
                </c:pt>
                <c:pt idx="8">
                  <c:v>Mar</c:v>
                </c:pt>
                <c:pt idx="9">
                  <c:v>Apr</c:v>
                </c:pt>
                <c:pt idx="10">
                  <c:v>May</c:v>
                </c:pt>
                <c:pt idx="11">
                  <c:v>Jun</c:v>
                </c:pt>
              </c:strCache>
            </c:strRef>
          </c:cat>
          <c:val>
            <c:numRef>
              <c:f>Calibration!$D$3:$D$14</c:f>
              <c:numCache>
                <c:formatCode>0.0</c:formatCode>
                <c:ptCount val="12"/>
                <c:pt idx="0">
                  <c:v>0</c:v>
                </c:pt>
                <c:pt idx="1">
                  <c:v>0</c:v>
                </c:pt>
                <c:pt idx="2">
                  <c:v>10.718297202618874</c:v>
                </c:pt>
                <c:pt idx="3">
                  <c:v>48.54874130284206</c:v>
                </c:pt>
                <c:pt idx="4">
                  <c:v>100.29097467754377</c:v>
                </c:pt>
                <c:pt idx="5">
                  <c:v>131.8340328443964</c:v>
                </c:pt>
                <c:pt idx="6">
                  <c:v>188.43506904581824</c:v>
                </c:pt>
                <c:pt idx="7">
                  <c:v>173.76338931065956</c:v>
                </c:pt>
                <c:pt idx="8">
                  <c:v>159.50324353597628</c:v>
                </c:pt>
                <c:pt idx="9">
                  <c:v>75.050908884090077</c:v>
                </c:pt>
                <c:pt idx="10">
                  <c:v>20.225404742200851</c:v>
                </c:pt>
                <c:pt idx="11">
                  <c:v>0</c:v>
                </c:pt>
              </c:numCache>
            </c:numRef>
          </c:val>
        </c:ser>
        <c:dLbls>
          <c:showLegendKey val="0"/>
          <c:showVal val="0"/>
          <c:showCatName val="0"/>
          <c:showSerName val="0"/>
          <c:showPercent val="0"/>
          <c:showBubbleSize val="0"/>
        </c:dLbls>
        <c:axId val="113850240"/>
        <c:axId val="116819840"/>
      </c:areaChart>
      <c:catAx>
        <c:axId val="113850240"/>
        <c:scaling>
          <c:orientation val="minMax"/>
        </c:scaling>
        <c:delete val="0"/>
        <c:axPos val="b"/>
        <c:title>
          <c:tx>
            <c:rich>
              <a:bodyPr/>
              <a:lstStyle/>
              <a:p>
                <a:pPr>
                  <a:defRPr i="1"/>
                </a:pPr>
                <a:r>
                  <a:rPr lang="en-US" i="1"/>
                  <a:t>Total = 908 Heating</a:t>
                </a:r>
                <a:r>
                  <a:rPr lang="en-US" i="1" baseline="0"/>
                  <a:t> Therms</a:t>
                </a:r>
                <a:endParaRPr lang="en-US" i="1"/>
              </a:p>
            </c:rich>
          </c:tx>
          <c:layout/>
          <c:overlay val="0"/>
        </c:title>
        <c:majorTickMark val="none"/>
        <c:minorTickMark val="none"/>
        <c:tickLblPos val="nextTo"/>
        <c:txPr>
          <a:bodyPr/>
          <a:lstStyle/>
          <a:p>
            <a:pPr>
              <a:defRPr sz="800"/>
            </a:pPr>
            <a:endParaRPr lang="en-US"/>
          </a:p>
        </c:txPr>
        <c:crossAx val="116819840"/>
        <c:crosses val="autoZero"/>
        <c:auto val="1"/>
        <c:lblAlgn val="ctr"/>
        <c:lblOffset val="100"/>
        <c:noMultiLvlLbl val="0"/>
      </c:catAx>
      <c:valAx>
        <c:axId val="116819840"/>
        <c:scaling>
          <c:orientation val="minMax"/>
        </c:scaling>
        <c:delete val="0"/>
        <c:axPos val="l"/>
        <c:majorGridlines/>
        <c:title>
          <c:tx>
            <c:rich>
              <a:bodyPr/>
              <a:lstStyle/>
              <a:p>
                <a:pPr>
                  <a:defRPr/>
                </a:pPr>
                <a:r>
                  <a:rPr lang="en-US"/>
                  <a:t>Therms</a:t>
                </a:r>
              </a:p>
            </c:rich>
          </c:tx>
          <c:layout/>
          <c:overlay val="0"/>
        </c:title>
        <c:numFmt formatCode="0" sourceLinked="0"/>
        <c:majorTickMark val="none"/>
        <c:minorTickMark val="none"/>
        <c:tickLblPos val="nextTo"/>
        <c:txPr>
          <a:bodyPr/>
          <a:lstStyle/>
          <a:p>
            <a:pPr>
              <a:defRPr sz="800"/>
            </a:pPr>
            <a:endParaRPr lang="en-US"/>
          </a:p>
        </c:txPr>
        <c:crossAx val="113850240"/>
        <c:crosses val="autoZero"/>
        <c:crossBetween val="midCat"/>
      </c:valAx>
    </c:plotArea>
    <c:plotVisOnly val="1"/>
    <c:dispBlanksAs val="zero"/>
    <c:showDLblsOverMax val="0"/>
  </c:chart>
  <c:spPr>
    <a:ln>
      <a:noFill/>
    </a:ln>
  </c:spPr>
  <c:txPr>
    <a:bodyPr/>
    <a:lstStyle/>
    <a:p>
      <a:pPr>
        <a:defRPr>
          <a:latin typeface="Palatino Linotype" pitchFamily="18"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BEopt Data: 2012-2013 Actual Weather</a:t>
            </a:r>
          </a:p>
        </c:rich>
      </c:tx>
      <c:layout>
        <c:manualLayout>
          <c:xMode val="edge"/>
          <c:yMode val="edge"/>
          <c:x val="0.13029754024109819"/>
          <c:y val="1.826524042985193E-2"/>
        </c:manualLayout>
      </c:layout>
      <c:overlay val="0"/>
    </c:title>
    <c:autoTitleDeleted val="0"/>
    <c:plotArea>
      <c:layout>
        <c:manualLayout>
          <c:layoutTarget val="inner"/>
          <c:xMode val="edge"/>
          <c:yMode val="edge"/>
          <c:x val="0.11813044387150722"/>
          <c:y val="0.15012804709315491"/>
          <c:w val="0.79942164309107377"/>
          <c:h val="0.50768282558929334"/>
        </c:manualLayout>
      </c:layout>
      <c:areaChart>
        <c:grouping val="stacked"/>
        <c:varyColors val="0"/>
        <c:ser>
          <c:idx val="1"/>
          <c:order val="0"/>
          <c:tx>
            <c:v>Non-heating</c:v>
          </c:tx>
          <c:spPr>
            <a:solidFill>
              <a:schemeClr val="accent1"/>
            </a:solidFill>
            <a:ln w="25400">
              <a:noFill/>
            </a:ln>
          </c:spPr>
          <c:cat>
            <c:strRef>
              <c:f>Calibration!$A$3:$A$14</c:f>
              <c:strCache>
                <c:ptCount val="12"/>
                <c:pt idx="0">
                  <c:v>Jul</c:v>
                </c:pt>
                <c:pt idx="1">
                  <c:v>Aug</c:v>
                </c:pt>
                <c:pt idx="2">
                  <c:v>Sep</c:v>
                </c:pt>
                <c:pt idx="3">
                  <c:v>Oct</c:v>
                </c:pt>
                <c:pt idx="4">
                  <c:v>Nov</c:v>
                </c:pt>
                <c:pt idx="5">
                  <c:v>Dec</c:v>
                </c:pt>
                <c:pt idx="6">
                  <c:v>Jan</c:v>
                </c:pt>
                <c:pt idx="7">
                  <c:v>Feb</c:v>
                </c:pt>
                <c:pt idx="8">
                  <c:v>Mar</c:v>
                </c:pt>
                <c:pt idx="9">
                  <c:v>Apr</c:v>
                </c:pt>
                <c:pt idx="10">
                  <c:v>May</c:v>
                </c:pt>
                <c:pt idx="11">
                  <c:v>Jun</c:v>
                </c:pt>
              </c:strCache>
            </c:strRef>
          </c:cat>
          <c:val>
            <c:numRef>
              <c:f>Calibration!$C$21:$C$32</c:f>
              <c:numCache>
                <c:formatCode>0.0</c:formatCode>
                <c:ptCount val="12"/>
                <c:pt idx="0">
                  <c:v>21.259858671000003</c:v>
                </c:pt>
                <c:pt idx="1">
                  <c:v>17.747151299999985</c:v>
                </c:pt>
                <c:pt idx="2">
                  <c:v>20.476375223000002</c:v>
                </c:pt>
                <c:pt idx="3">
                  <c:v>22.722185044000025</c:v>
                </c:pt>
                <c:pt idx="4">
                  <c:v>23.513324058000013</c:v>
                </c:pt>
                <c:pt idx="5">
                  <c:v>22.942462918999993</c:v>
                </c:pt>
                <c:pt idx="6">
                  <c:v>27.127958816999985</c:v>
                </c:pt>
                <c:pt idx="7">
                  <c:v>25.734834200999988</c:v>
                </c:pt>
                <c:pt idx="8">
                  <c:v>26.952365977000024</c:v>
                </c:pt>
                <c:pt idx="9">
                  <c:v>25.289987189999977</c:v>
                </c:pt>
                <c:pt idx="10">
                  <c:v>22.974579129000016</c:v>
                </c:pt>
                <c:pt idx="11">
                  <c:v>21.792425771000001</c:v>
                </c:pt>
              </c:numCache>
            </c:numRef>
          </c:val>
        </c:ser>
        <c:ser>
          <c:idx val="0"/>
          <c:order val="1"/>
          <c:tx>
            <c:v>Heating</c:v>
          </c:tx>
          <c:spPr>
            <a:solidFill>
              <a:schemeClr val="accent2"/>
            </a:solidFill>
          </c:spPr>
          <c:cat>
            <c:strRef>
              <c:f>Calibration!$A$3:$A$14</c:f>
              <c:strCache>
                <c:ptCount val="12"/>
                <c:pt idx="0">
                  <c:v>Jul</c:v>
                </c:pt>
                <c:pt idx="1">
                  <c:v>Aug</c:v>
                </c:pt>
                <c:pt idx="2">
                  <c:v>Sep</c:v>
                </c:pt>
                <c:pt idx="3">
                  <c:v>Oct</c:v>
                </c:pt>
                <c:pt idx="4">
                  <c:v>Nov</c:v>
                </c:pt>
                <c:pt idx="5">
                  <c:v>Dec</c:v>
                </c:pt>
                <c:pt idx="6">
                  <c:v>Jan</c:v>
                </c:pt>
                <c:pt idx="7">
                  <c:v>Feb</c:v>
                </c:pt>
                <c:pt idx="8">
                  <c:v>Mar</c:v>
                </c:pt>
                <c:pt idx="9">
                  <c:v>Apr</c:v>
                </c:pt>
                <c:pt idx="10">
                  <c:v>May</c:v>
                </c:pt>
                <c:pt idx="11">
                  <c:v>Jun</c:v>
                </c:pt>
              </c:strCache>
            </c:strRef>
          </c:cat>
          <c:val>
            <c:numRef>
              <c:f>Calibration!$D$21:$D$32</c:f>
              <c:numCache>
                <c:formatCode>0.0</c:formatCode>
                <c:ptCount val="12"/>
                <c:pt idx="0">
                  <c:v>0</c:v>
                </c:pt>
                <c:pt idx="1">
                  <c:v>0</c:v>
                </c:pt>
                <c:pt idx="2">
                  <c:v>7.5523683680000078</c:v>
                </c:pt>
                <c:pt idx="3">
                  <c:v>45.611915422000038</c:v>
                </c:pt>
                <c:pt idx="4">
                  <c:v>93.176778322999994</c:v>
                </c:pt>
                <c:pt idx="5">
                  <c:v>133.40397461439994</c:v>
                </c:pt>
                <c:pt idx="6">
                  <c:v>192.31288579999995</c:v>
                </c:pt>
                <c:pt idx="7">
                  <c:v>183.13489610000002</c:v>
                </c:pt>
                <c:pt idx="8">
                  <c:v>153.35608035999999</c:v>
                </c:pt>
                <c:pt idx="9">
                  <c:v>75.630536999999933</c:v>
                </c:pt>
                <c:pt idx="10">
                  <c:v>24.735299565700007</c:v>
                </c:pt>
                <c:pt idx="11">
                  <c:v>4.7464724809999987</c:v>
                </c:pt>
              </c:numCache>
            </c:numRef>
          </c:val>
        </c:ser>
        <c:dLbls>
          <c:showLegendKey val="0"/>
          <c:showVal val="0"/>
          <c:showCatName val="0"/>
          <c:showSerName val="0"/>
          <c:showPercent val="0"/>
          <c:showBubbleSize val="0"/>
        </c:dLbls>
        <c:axId val="137796224"/>
        <c:axId val="164377344"/>
      </c:areaChart>
      <c:catAx>
        <c:axId val="137796224"/>
        <c:scaling>
          <c:orientation val="minMax"/>
        </c:scaling>
        <c:delete val="0"/>
        <c:axPos val="b"/>
        <c:title>
          <c:tx>
            <c:rich>
              <a:bodyPr/>
              <a:lstStyle/>
              <a:p>
                <a:pPr>
                  <a:defRPr i="1"/>
                </a:pPr>
                <a:r>
                  <a:rPr lang="en-US" i="1"/>
                  <a:t>Total = 914 Heating Therms</a:t>
                </a:r>
              </a:p>
            </c:rich>
          </c:tx>
          <c:layout/>
          <c:overlay val="0"/>
        </c:title>
        <c:majorTickMark val="none"/>
        <c:minorTickMark val="none"/>
        <c:tickLblPos val="nextTo"/>
        <c:txPr>
          <a:bodyPr/>
          <a:lstStyle/>
          <a:p>
            <a:pPr>
              <a:defRPr sz="800"/>
            </a:pPr>
            <a:endParaRPr lang="en-US"/>
          </a:p>
        </c:txPr>
        <c:crossAx val="164377344"/>
        <c:crosses val="autoZero"/>
        <c:auto val="1"/>
        <c:lblAlgn val="ctr"/>
        <c:lblOffset val="100"/>
        <c:noMultiLvlLbl val="0"/>
      </c:catAx>
      <c:valAx>
        <c:axId val="164377344"/>
        <c:scaling>
          <c:orientation val="minMax"/>
        </c:scaling>
        <c:delete val="0"/>
        <c:axPos val="l"/>
        <c:majorGridlines/>
        <c:numFmt formatCode="0" sourceLinked="0"/>
        <c:majorTickMark val="none"/>
        <c:minorTickMark val="none"/>
        <c:tickLblPos val="nextTo"/>
        <c:txPr>
          <a:bodyPr/>
          <a:lstStyle/>
          <a:p>
            <a:pPr>
              <a:defRPr sz="800"/>
            </a:pPr>
            <a:endParaRPr lang="en-US"/>
          </a:p>
        </c:txPr>
        <c:crossAx val="137796224"/>
        <c:crosses val="autoZero"/>
        <c:crossBetween val="midCat"/>
      </c:valAx>
    </c:plotArea>
    <c:plotVisOnly val="1"/>
    <c:dispBlanksAs val="zero"/>
    <c:showDLblsOverMax val="0"/>
  </c:chart>
  <c:spPr>
    <a:ln>
      <a:noFill/>
    </a:ln>
  </c:spPr>
  <c:txPr>
    <a:bodyPr/>
    <a:lstStyle/>
    <a:p>
      <a:pPr>
        <a:defRPr>
          <a:latin typeface="Palatino Linotype" pitchFamily="18" charset="0"/>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BEopt Data: TMY3 Weather</a:t>
            </a:r>
          </a:p>
        </c:rich>
      </c:tx>
      <c:layout>
        <c:manualLayout>
          <c:xMode val="edge"/>
          <c:yMode val="edge"/>
          <c:x val="0.28920096248507482"/>
          <c:y val="4.2260559250590177E-2"/>
        </c:manualLayout>
      </c:layout>
      <c:overlay val="0"/>
    </c:title>
    <c:autoTitleDeleted val="0"/>
    <c:plotArea>
      <c:layout>
        <c:manualLayout>
          <c:layoutTarget val="inner"/>
          <c:xMode val="edge"/>
          <c:yMode val="edge"/>
          <c:x val="0.20522423356874209"/>
          <c:y val="0.19387139107611548"/>
          <c:w val="0.50403618583685372"/>
          <c:h val="0.50824639107611547"/>
        </c:manualLayout>
      </c:layout>
      <c:areaChart>
        <c:grouping val="stacked"/>
        <c:varyColors val="0"/>
        <c:ser>
          <c:idx val="1"/>
          <c:order val="0"/>
          <c:tx>
            <c:v>Non-Heating</c:v>
          </c:tx>
          <c:spPr>
            <a:solidFill>
              <a:schemeClr val="accent1"/>
            </a:solidFill>
            <a:ln w="25400">
              <a:noFill/>
            </a:ln>
          </c:spPr>
          <c:cat>
            <c:strRef>
              <c:f>Calibration!$A$3:$A$14</c:f>
              <c:strCache>
                <c:ptCount val="12"/>
                <c:pt idx="0">
                  <c:v>Jul</c:v>
                </c:pt>
                <c:pt idx="1">
                  <c:v>Aug</c:v>
                </c:pt>
                <c:pt idx="2">
                  <c:v>Sep</c:v>
                </c:pt>
                <c:pt idx="3">
                  <c:v>Oct</c:v>
                </c:pt>
                <c:pt idx="4">
                  <c:v>Nov</c:v>
                </c:pt>
                <c:pt idx="5">
                  <c:v>Dec</c:v>
                </c:pt>
                <c:pt idx="6">
                  <c:v>Jan</c:v>
                </c:pt>
                <c:pt idx="7">
                  <c:v>Feb</c:v>
                </c:pt>
                <c:pt idx="8">
                  <c:v>Mar</c:v>
                </c:pt>
                <c:pt idx="9">
                  <c:v>Apr</c:v>
                </c:pt>
                <c:pt idx="10">
                  <c:v>May</c:v>
                </c:pt>
                <c:pt idx="11">
                  <c:v>Jun</c:v>
                </c:pt>
              </c:strCache>
            </c:strRef>
          </c:cat>
          <c:val>
            <c:numRef>
              <c:f>Calibration!$C$40:$C$51</c:f>
              <c:numCache>
                <c:formatCode>0.0</c:formatCode>
                <c:ptCount val="12"/>
                <c:pt idx="0">
                  <c:v>21.707267850999997</c:v>
                </c:pt>
                <c:pt idx="1">
                  <c:v>18.117124739999998</c:v>
                </c:pt>
                <c:pt idx="2">
                  <c:v>20.938843213000023</c:v>
                </c:pt>
                <c:pt idx="3">
                  <c:v>23.137508634000014</c:v>
                </c:pt>
                <c:pt idx="4">
                  <c:v>23.763096477999987</c:v>
                </c:pt>
                <c:pt idx="5">
                  <c:v>22.853248768999979</c:v>
                </c:pt>
                <c:pt idx="6">
                  <c:v>27.212441896999998</c:v>
                </c:pt>
                <c:pt idx="7">
                  <c:v>25.892189311000006</c:v>
                </c:pt>
                <c:pt idx="8">
                  <c:v>27.308782406999985</c:v>
                </c:pt>
                <c:pt idx="9">
                  <c:v>25.562163919999989</c:v>
                </c:pt>
                <c:pt idx="10">
                  <c:v>23.328045968999994</c:v>
                </c:pt>
                <c:pt idx="11">
                  <c:v>22.247345351000021</c:v>
                </c:pt>
              </c:numCache>
            </c:numRef>
          </c:val>
        </c:ser>
        <c:ser>
          <c:idx val="0"/>
          <c:order val="1"/>
          <c:tx>
            <c:v>Heating</c:v>
          </c:tx>
          <c:spPr>
            <a:solidFill>
              <a:schemeClr val="accent2"/>
            </a:solidFill>
          </c:spPr>
          <c:cat>
            <c:strRef>
              <c:f>Calibration!$A$3:$A$14</c:f>
              <c:strCache>
                <c:ptCount val="12"/>
                <c:pt idx="0">
                  <c:v>Jul</c:v>
                </c:pt>
                <c:pt idx="1">
                  <c:v>Aug</c:v>
                </c:pt>
                <c:pt idx="2">
                  <c:v>Sep</c:v>
                </c:pt>
                <c:pt idx="3">
                  <c:v>Oct</c:v>
                </c:pt>
                <c:pt idx="4">
                  <c:v>Nov</c:v>
                </c:pt>
                <c:pt idx="5">
                  <c:v>Dec</c:v>
                </c:pt>
                <c:pt idx="6">
                  <c:v>Jan</c:v>
                </c:pt>
                <c:pt idx="7">
                  <c:v>Feb</c:v>
                </c:pt>
                <c:pt idx="8">
                  <c:v>Mar</c:v>
                </c:pt>
                <c:pt idx="9">
                  <c:v>Apr</c:v>
                </c:pt>
                <c:pt idx="10">
                  <c:v>May</c:v>
                </c:pt>
                <c:pt idx="11">
                  <c:v>Jun</c:v>
                </c:pt>
              </c:strCache>
            </c:strRef>
          </c:cat>
          <c:val>
            <c:numRef>
              <c:f>Calibration!$D$40:$D$51</c:f>
              <c:numCache>
                <c:formatCode>0.0</c:formatCode>
                <c:ptCount val="12"/>
                <c:pt idx="0">
                  <c:v>0</c:v>
                </c:pt>
                <c:pt idx="1">
                  <c:v>4.2021260000000005E-2</c:v>
                </c:pt>
                <c:pt idx="2">
                  <c:v>5.4139813089999995</c:v>
                </c:pt>
                <c:pt idx="3">
                  <c:v>41.736436205300031</c:v>
                </c:pt>
                <c:pt idx="4">
                  <c:v>110.41601044900003</c:v>
                </c:pt>
                <c:pt idx="5">
                  <c:v>192.51377519999988</c:v>
                </c:pt>
                <c:pt idx="6">
                  <c:v>216.37626129999981</c:v>
                </c:pt>
                <c:pt idx="7">
                  <c:v>177.20269279999997</c:v>
                </c:pt>
                <c:pt idx="8">
                  <c:v>124.62123447899995</c:v>
                </c:pt>
                <c:pt idx="9">
                  <c:v>68.037128309999943</c:v>
                </c:pt>
                <c:pt idx="10">
                  <c:v>22.631310008000003</c:v>
                </c:pt>
                <c:pt idx="11">
                  <c:v>2.5283308710000001</c:v>
                </c:pt>
              </c:numCache>
            </c:numRef>
          </c:val>
        </c:ser>
        <c:dLbls>
          <c:showLegendKey val="0"/>
          <c:showVal val="0"/>
          <c:showCatName val="0"/>
          <c:showSerName val="0"/>
          <c:showPercent val="0"/>
          <c:showBubbleSize val="0"/>
        </c:dLbls>
        <c:axId val="55469568"/>
        <c:axId val="55471488"/>
      </c:areaChart>
      <c:catAx>
        <c:axId val="55469568"/>
        <c:scaling>
          <c:orientation val="minMax"/>
        </c:scaling>
        <c:delete val="0"/>
        <c:axPos val="b"/>
        <c:title>
          <c:tx>
            <c:rich>
              <a:bodyPr/>
              <a:lstStyle/>
              <a:p>
                <a:pPr>
                  <a:defRPr i="1"/>
                </a:pPr>
                <a:r>
                  <a:rPr lang="en-US" i="1"/>
                  <a:t>Total = 962 Heating Therms</a:t>
                </a:r>
              </a:p>
            </c:rich>
          </c:tx>
          <c:layout/>
          <c:overlay val="0"/>
        </c:title>
        <c:majorTickMark val="none"/>
        <c:minorTickMark val="none"/>
        <c:tickLblPos val="nextTo"/>
        <c:txPr>
          <a:bodyPr/>
          <a:lstStyle/>
          <a:p>
            <a:pPr>
              <a:defRPr sz="800"/>
            </a:pPr>
            <a:endParaRPr lang="en-US"/>
          </a:p>
        </c:txPr>
        <c:crossAx val="55471488"/>
        <c:crosses val="autoZero"/>
        <c:auto val="1"/>
        <c:lblAlgn val="ctr"/>
        <c:lblOffset val="100"/>
        <c:noMultiLvlLbl val="0"/>
      </c:catAx>
      <c:valAx>
        <c:axId val="55471488"/>
        <c:scaling>
          <c:orientation val="minMax"/>
          <c:max val="250"/>
          <c:min val="0"/>
        </c:scaling>
        <c:delete val="0"/>
        <c:axPos val="l"/>
        <c:majorGridlines/>
        <c:numFmt formatCode="0" sourceLinked="0"/>
        <c:majorTickMark val="none"/>
        <c:minorTickMark val="none"/>
        <c:tickLblPos val="nextTo"/>
        <c:txPr>
          <a:bodyPr/>
          <a:lstStyle/>
          <a:p>
            <a:pPr>
              <a:defRPr sz="800"/>
            </a:pPr>
            <a:endParaRPr lang="en-US"/>
          </a:p>
        </c:txPr>
        <c:crossAx val="55469568"/>
        <c:crosses val="autoZero"/>
        <c:crossBetween val="midCat"/>
        <c:majorUnit val="50"/>
      </c:valAx>
    </c:plotArea>
    <c:legend>
      <c:legendPos val="r"/>
      <c:layout>
        <c:manualLayout>
          <c:xMode val="edge"/>
          <c:yMode val="edge"/>
          <c:x val="0.75026819876927286"/>
          <c:y val="0.4057293363472787"/>
          <c:w val="0.24698249326580815"/>
          <c:h val="0.2688888888888889"/>
        </c:manualLayout>
      </c:layout>
      <c:overlay val="0"/>
    </c:legend>
    <c:plotVisOnly val="1"/>
    <c:dispBlanksAs val="zero"/>
    <c:showDLblsOverMax val="0"/>
  </c:chart>
  <c:spPr>
    <a:ln>
      <a:noFill/>
    </a:ln>
  </c:spPr>
  <c:txPr>
    <a:bodyPr/>
    <a:lstStyle/>
    <a:p>
      <a:pPr>
        <a:defRPr>
          <a:latin typeface="Palatino Linotype" pitchFamily="18"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66D727-133E-4290-AB11-7D9B920887AA}">
  <ds:schemaRefs>
    <ds:schemaRef ds:uri="http://purl.org/dc/terms/"/>
    <ds:schemaRef ds:uri="http://purl.org/dc/dcmitype/"/>
    <ds:schemaRef ds:uri="http://schemas.microsoft.com/office/infopath/2007/PartnerControls"/>
    <ds:schemaRef ds:uri="http://www.w3.org/XML/1998/namespace"/>
    <ds:schemaRef ds:uri="http://schemas.microsoft.com/office/2006/metadata/properties"/>
    <ds:schemaRef ds:uri="http://schemas.microsoft.com/office/2006/documentManagement/types"/>
    <ds:schemaRef ds:uri="http://purl.org/dc/elements/1.1/"/>
    <ds:schemaRef ds:uri="http://schemas.openxmlformats.org/package/2006/metadata/core-properties"/>
  </ds:schemaRefs>
</ds:datastoreItem>
</file>

<file path=customXml/itemProps2.xml><?xml version="1.0" encoding="utf-8"?>
<ds:datastoreItem xmlns:ds="http://schemas.openxmlformats.org/officeDocument/2006/customXml" ds:itemID="{EF59847F-26BC-450D-A094-2E1FCC5BFF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0EB4731-BA91-425F-A438-0B562E5E17B2}">
  <ds:schemaRefs>
    <ds:schemaRef ds:uri="http://schemas.microsoft.com/sharepoint/v3/contenttype/forms"/>
  </ds:schemaRefs>
</ds:datastoreItem>
</file>

<file path=customXml/itemProps4.xml><?xml version="1.0" encoding="utf-8"?>
<ds:datastoreItem xmlns:ds="http://schemas.openxmlformats.org/officeDocument/2006/customXml" ds:itemID="{A50BFD13-1A98-475B-85E9-E3030566DA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318BA493</Template>
  <TotalTime>0</TotalTime>
  <Pages>22</Pages>
  <Words>5510</Words>
  <Characters>31410</Characters>
  <Application>Microsoft Office Word</Application>
  <DocSecurity>0</DocSecurity>
  <Lines>261</Lines>
  <Paragraphs>73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36847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2013-11-06T15:41:00Z</dcterms:created>
  <dcterms:modified xsi:type="dcterms:W3CDTF">2013-11-06T15:41:00Z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