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Franklin Gothic Book" w:hAnsi="Franklin Gothic Book"/>
          <w:sz w:val="22"/>
        </w:rPr>
        <w:id w:val="2047950357"/>
        <w:docPartObj>
          <w:docPartGallery w:val="Cover Pages"/>
          <w:docPartUnique/>
        </w:docPartObj>
      </w:sdtPr>
      <w:sdtEndPr/>
      <w:sdtContent>
        <w:p w14:paraId="723FCD44" w14:textId="715E40D1" w:rsidR="001F322C" w:rsidRDefault="00CB0033" w:rsidP="000E0419">
          <w:pPr>
            <w:pStyle w:val="TableTextLeftMedium"/>
          </w:pPr>
          <w:r>
            <w:rPr>
              <w:noProof/>
            </w:rPr>
            <w:drawing>
              <wp:anchor distT="0" distB="0" distL="114300" distR="114300" simplePos="0" relativeHeight="251663360" behindDoc="1" locked="1" layoutInCell="1" allowOverlap="1" wp14:anchorId="694A9FE1" wp14:editId="6D635AC9">
                <wp:simplePos x="0" y="0"/>
                <wp:positionH relativeFrom="page">
                  <wp:align>left</wp:align>
                </wp:positionH>
                <wp:positionV relativeFrom="page">
                  <wp:align>top</wp:align>
                </wp:positionV>
                <wp:extent cx="7836408" cy="10140696"/>
                <wp:effectExtent l="0" t="0" r="0" b="0"/>
                <wp:wrapNone/>
                <wp:docPr id="82660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01317"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836408" cy="10140696"/>
                        </a:xfrm>
                        <a:prstGeom prst="rect">
                          <a:avLst/>
                        </a:prstGeom>
                      </pic:spPr>
                    </pic:pic>
                  </a:graphicData>
                </a:graphic>
                <wp14:sizeRelH relativeFrom="margin">
                  <wp14:pctWidth>0</wp14:pctWidth>
                </wp14:sizeRelH>
                <wp14:sizeRelV relativeFrom="margin">
                  <wp14:pctHeight>0</wp14:pctHeight>
                </wp14:sizeRelV>
              </wp:anchor>
            </w:drawing>
          </w:r>
        </w:p>
        <w:p w14:paraId="14B2911B" w14:textId="47E97EF2" w:rsidR="001F322C" w:rsidRDefault="002C2C1C" w:rsidP="001F322C">
          <w:r>
            <w:rPr>
              <w:noProof/>
            </w:rPr>
            <mc:AlternateContent>
              <mc:Choice Requires="wps">
                <w:drawing>
                  <wp:anchor distT="190500" distB="190500" distL="476250" distR="476250" simplePos="0" relativeHeight="251658240" behindDoc="0" locked="0" layoutInCell="1" allowOverlap="1" wp14:anchorId="48E69F6E" wp14:editId="517C2F60">
                    <wp:simplePos x="0" y="0"/>
                    <wp:positionH relativeFrom="page">
                      <wp:align>left</wp:align>
                    </wp:positionH>
                    <wp:positionV relativeFrom="page">
                      <wp:posOffset>2041071</wp:posOffset>
                    </wp:positionV>
                    <wp:extent cx="7766685" cy="3771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685" cy="3771900"/>
                            </a:xfrm>
                            <a:prstGeom prst="rect">
                              <a:avLst/>
                            </a:prstGeom>
                            <a:noFill/>
                            <a:ln w="9525">
                              <a:noFill/>
                              <a:miter lim="800000"/>
                              <a:headEnd/>
                              <a:tailEnd/>
                            </a:ln>
                          </wps:spPr>
                          <wps:txbx>
                            <w:txbxContent>
                              <w:p w14:paraId="04BB778D" w14:textId="7C083496" w:rsidR="00D27354" w:rsidRDefault="00527C32" w:rsidP="00D27354">
                                <w:pPr>
                                  <w:pStyle w:val="Title"/>
                                </w:pPr>
                                <w:r>
                                  <w:t>Ameren Illinois Company</w:t>
                                </w:r>
                              </w:p>
                              <w:p w14:paraId="26E60D87" w14:textId="74243633" w:rsidR="00D27354" w:rsidRPr="00D27354" w:rsidRDefault="00527C32" w:rsidP="00527C32">
                                <w:pPr>
                                  <w:pStyle w:val="Subtitle"/>
                                  <w:ind w:right="5175"/>
                                  <w:rPr>
                                    <w:lang w:val="en-ZA"/>
                                  </w:rPr>
                                </w:pPr>
                                <w:r>
                                  <w:rPr>
                                    <w:lang w:val="en-ZA"/>
                                  </w:rPr>
                                  <w:t>2024 Integrated Impact Evaluation Report</w:t>
                                </w:r>
                              </w:p>
                              <w:p w14:paraId="62A1BB73" w14:textId="77777777" w:rsidR="00D27354" w:rsidRPr="00D27354" w:rsidRDefault="00D27354" w:rsidP="00D27354">
                                <w:pPr>
                                  <w:ind w:left="450"/>
                                  <w:rPr>
                                    <w:rFonts w:ascii="Rift Soft Light" w:hAnsi="Rift Soft Light"/>
                                    <w:sz w:val="44"/>
                                    <w:szCs w:val="44"/>
                                    <w:lang w:val="en-ZA"/>
                                  </w:rPr>
                                </w:pPr>
                              </w:p>
                              <w:p w14:paraId="71A10896" w14:textId="01A68B0C" w:rsidR="00D27354" w:rsidRDefault="00527C32" w:rsidP="00C54B21">
                                <w:pPr>
                                  <w:pStyle w:val="Title3"/>
                                  <w:rPr>
                                    <w:lang w:val="en-ZA"/>
                                  </w:rPr>
                                </w:pPr>
                                <w:r>
                                  <w:rPr>
                                    <w:lang w:val="en-ZA"/>
                                  </w:rPr>
                                  <w:t>Draft</w:t>
                                </w:r>
                              </w:p>
                              <w:p w14:paraId="0C344357" w14:textId="134A105D" w:rsidR="00527C32" w:rsidRPr="00D27354" w:rsidRDefault="00527C32" w:rsidP="00C54B21">
                                <w:pPr>
                                  <w:pStyle w:val="Title3"/>
                                  <w:rPr>
                                    <w:lang w:val="en-ZA"/>
                                  </w:rPr>
                                </w:pPr>
                                <w:r>
                                  <w:rPr>
                                    <w:lang w:val="en-ZA"/>
                                  </w:rPr>
                                  <w:t>March 1</w:t>
                                </w:r>
                                <w:r w:rsidR="0019360C">
                                  <w:rPr>
                                    <w:lang w:val="en-ZA"/>
                                  </w:rPr>
                                  <w:t>3</w:t>
                                </w:r>
                                <w:r>
                                  <w:rPr>
                                    <w:lang w:val="en-ZA"/>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69F6E" id="_x0000_t202" coordsize="21600,21600" o:spt="202" path="m,l,21600r21600,l21600,xe">
                    <v:stroke joinstyle="miter"/>
                    <v:path gradientshapeok="t" o:connecttype="rect"/>
                  </v:shapetype>
                  <v:shape id="Text Box 2" o:spid="_x0000_s1026" type="#_x0000_t202" style="position:absolute;margin-left:0;margin-top:160.7pt;width:611.55pt;height:297pt;z-index:251658240;visibility:visible;mso-wrap-style:square;mso-width-percent:0;mso-height-percent:0;mso-wrap-distance-left:37.5pt;mso-wrap-distance-top:15pt;mso-wrap-distance-right:37.5pt;mso-wrap-distance-bottom:15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" filled="f" stroked="f">
                    <v:textbox>
                      <w:txbxContent>
                        <w:p w14:paraId="04BB778D" w14:textId="7C083496" w:rsidR="00D27354" w:rsidRDefault="00527C32" w:rsidP="00D27354">
                          <w:pPr>
                            <w:pStyle w:val="Title"/>
                          </w:pPr>
                          <w:r>
                            <w:t>Ameren Illinois Company</w:t>
                          </w:r>
                        </w:p>
                        <w:p w14:paraId="26E60D87" w14:textId="74243633" w:rsidR="00D27354" w:rsidRPr="00D27354" w:rsidRDefault="00527C32" w:rsidP="00527C32">
                          <w:pPr>
                            <w:pStyle w:val="Subtitle"/>
                            <w:ind w:right="5175"/>
                            <w:rPr>
                              <w:lang w:val="en-ZA"/>
                            </w:rPr>
                          </w:pPr>
                          <w:r>
                            <w:rPr>
                              <w:lang w:val="en-ZA"/>
                            </w:rPr>
                            <w:t>2024 Integrated Impact Evaluation Report</w:t>
                          </w:r>
                        </w:p>
                        <w:p w14:paraId="62A1BB73" w14:textId="77777777" w:rsidR="00D27354" w:rsidRPr="00D27354" w:rsidRDefault="00D27354" w:rsidP="00D27354">
                          <w:pPr>
                            <w:ind w:left="450"/>
                            <w:rPr>
                              <w:rFonts w:ascii="Rift Soft Light" w:hAnsi="Rift Soft Light"/>
                              <w:sz w:val="44"/>
                              <w:szCs w:val="44"/>
                              <w:lang w:val="en-ZA"/>
                            </w:rPr>
                          </w:pPr>
                        </w:p>
                        <w:p w14:paraId="71A10896" w14:textId="01A68B0C" w:rsidR="00D27354" w:rsidRDefault="00527C32" w:rsidP="00C54B21">
                          <w:pPr>
                            <w:pStyle w:val="Title3"/>
                            <w:rPr>
                              <w:lang w:val="en-ZA"/>
                            </w:rPr>
                          </w:pPr>
                          <w:r>
                            <w:rPr>
                              <w:lang w:val="en-ZA"/>
                            </w:rPr>
                            <w:t>Draft</w:t>
                          </w:r>
                        </w:p>
                        <w:p w14:paraId="0C344357" w14:textId="134A105D" w:rsidR="00527C32" w:rsidRPr="00D27354" w:rsidRDefault="00527C32" w:rsidP="00C54B21">
                          <w:pPr>
                            <w:pStyle w:val="Title3"/>
                            <w:rPr>
                              <w:lang w:val="en-ZA"/>
                            </w:rPr>
                          </w:pPr>
                          <w:r>
                            <w:rPr>
                              <w:lang w:val="en-ZA"/>
                            </w:rPr>
                            <w:t>March 1</w:t>
                          </w:r>
                          <w:r w:rsidR="0019360C">
                            <w:rPr>
                              <w:lang w:val="en-ZA"/>
                            </w:rPr>
                            <w:t>3</w:t>
                          </w:r>
                          <w:r>
                            <w:rPr>
                              <w:lang w:val="en-ZA"/>
                            </w:rPr>
                            <w:t>, 2025</w:t>
                          </w:r>
                        </w:p>
                      </w:txbxContent>
                    </v:textbox>
                    <w10:wrap type="square" anchorx="page" anchory="page"/>
                  </v:shape>
                </w:pict>
              </mc:Fallback>
            </mc:AlternateContent>
          </w:r>
          <w:r w:rsidR="001F322C">
            <w:br w:type="page"/>
          </w:r>
        </w:p>
      </w:sdtContent>
    </w:sdt>
    <w:sdt>
      <w:sdtPr>
        <w:rPr>
          <w:rFonts w:ascii="Franklin Gothic Book" w:hAnsi="Franklin Gothic Book"/>
          <w:color w:val="4A4D56" w:themeColor="text1"/>
          <w:sz w:val="22"/>
          <w:szCs w:val="22"/>
        </w:rPr>
        <w:id w:val="1086813943"/>
        <w:docPartObj>
          <w:docPartGallery w:val="Table of Contents"/>
          <w:docPartUnique/>
        </w:docPartObj>
      </w:sdtPr>
      <w:sdtEndPr>
        <w:rPr>
          <w:noProof/>
        </w:rPr>
      </w:sdtEndPr>
      <w:sdtContent>
        <w:p w14:paraId="43426D3C" w14:textId="77777777" w:rsidR="00527C32" w:rsidRDefault="00527C32" w:rsidP="00527C32">
          <w:pPr>
            <w:pStyle w:val="TOCHeading"/>
          </w:pPr>
          <w:r>
            <w:t>Contents</w:t>
          </w:r>
        </w:p>
        <w:p w14:paraId="66657C79" w14:textId="77777777" w:rsidR="00527C32" w:rsidRDefault="00527C32" w:rsidP="00527C32">
          <w:pPr>
            <w:sectPr w:rsidR="00527C32" w:rsidSect="00527C32">
              <w:headerReference w:type="default" r:id="rId12"/>
              <w:footerReference w:type="default" r:id="rId13"/>
              <w:headerReference w:type="first" r:id="rId14"/>
              <w:type w:val="continuous"/>
              <w:pgSz w:w="12240" w:h="15840" w:code="1"/>
              <w:pgMar w:top="39" w:right="567" w:bottom="567" w:left="567" w:header="567" w:footer="340" w:gutter="0"/>
              <w:cols w:space="708"/>
              <w:titlePg/>
              <w:docGrid w:linePitch="360"/>
            </w:sectPr>
          </w:pPr>
        </w:p>
        <w:p w14:paraId="20717008" w14:textId="206DBE0B" w:rsidR="00F8548D" w:rsidRDefault="00527C32">
          <w:pPr>
            <w:pStyle w:val="TOC1"/>
            <w:rPr>
              <w:rFonts w:asciiTheme="minorHAnsi" w:eastAsiaTheme="minorEastAsia" w:hAnsiTheme="minorHAnsi" w:cstheme="minorBidi"/>
              <w:color w:val="auto"/>
              <w:kern w:val="2"/>
              <w:sz w:val="24"/>
              <w:szCs w:val="24"/>
              <w14:ligatures w14:val="standardContextual"/>
            </w:rPr>
          </w:pPr>
          <w:r>
            <w:fldChar w:fldCharType="begin"/>
          </w:r>
          <w:r>
            <w:instrText xml:space="preserve"> TOC \o "1-2" \h \z \u </w:instrText>
          </w:r>
          <w:r>
            <w:fldChar w:fldCharType="separate"/>
          </w:r>
          <w:hyperlink w:anchor="_Toc192774857" w:history="1">
            <w:r w:rsidR="00F8548D" w:rsidRPr="002F6E2A">
              <w:rPr>
                <w:rStyle w:val="Hyperlink"/>
              </w:rPr>
              <w:t>1.</w:t>
            </w:r>
            <w:r w:rsidR="00F8548D">
              <w:rPr>
                <w:rFonts w:asciiTheme="minorHAnsi" w:eastAsiaTheme="minorEastAsia" w:hAnsiTheme="minorHAnsi" w:cstheme="minorBidi"/>
                <w:color w:val="auto"/>
                <w:kern w:val="2"/>
                <w:sz w:val="24"/>
                <w:szCs w:val="24"/>
                <w14:ligatures w14:val="standardContextual"/>
              </w:rPr>
              <w:tab/>
            </w:r>
            <w:r w:rsidR="00F8548D" w:rsidRPr="002F6E2A">
              <w:rPr>
                <w:rStyle w:val="Hyperlink"/>
              </w:rPr>
              <w:t>Executive Summary</w:t>
            </w:r>
            <w:r w:rsidR="00F8548D">
              <w:rPr>
                <w:webHidden/>
              </w:rPr>
              <w:tab/>
            </w:r>
            <w:r w:rsidR="00F8548D">
              <w:rPr>
                <w:webHidden/>
              </w:rPr>
              <w:fldChar w:fldCharType="begin"/>
            </w:r>
            <w:r w:rsidR="00F8548D">
              <w:rPr>
                <w:webHidden/>
              </w:rPr>
              <w:instrText xml:space="preserve"> PAGEREF _Toc192774857 \h </w:instrText>
            </w:r>
            <w:r w:rsidR="00F8548D">
              <w:rPr>
                <w:webHidden/>
              </w:rPr>
            </w:r>
            <w:r w:rsidR="00F8548D">
              <w:rPr>
                <w:webHidden/>
              </w:rPr>
              <w:fldChar w:fldCharType="separate"/>
            </w:r>
            <w:r w:rsidR="00F8548D">
              <w:rPr>
                <w:webHidden/>
              </w:rPr>
              <w:t>4</w:t>
            </w:r>
            <w:r w:rsidR="00F8548D">
              <w:rPr>
                <w:webHidden/>
              </w:rPr>
              <w:fldChar w:fldCharType="end"/>
            </w:r>
          </w:hyperlink>
        </w:p>
        <w:p w14:paraId="3AE3AA77" w14:textId="190133B9"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58" w:history="1">
            <w:r w:rsidRPr="002F6E2A">
              <w:rPr>
                <w:rStyle w:val="Hyperlink"/>
              </w:rPr>
              <w:t>1.1</w:t>
            </w:r>
            <w:r>
              <w:rPr>
                <w:rFonts w:asciiTheme="minorHAnsi" w:eastAsiaTheme="minorEastAsia" w:hAnsiTheme="minorHAnsi" w:cstheme="minorBidi"/>
                <w:color w:val="auto"/>
                <w:kern w:val="2"/>
                <w:sz w:val="24"/>
                <w:szCs w:val="24"/>
                <w14:ligatures w14:val="standardContextual"/>
              </w:rPr>
              <w:tab/>
            </w:r>
            <w:r w:rsidRPr="002F6E2A">
              <w:rPr>
                <w:rStyle w:val="Hyperlink"/>
              </w:rPr>
              <w:t>Overview of the AIC Portfolio</w:t>
            </w:r>
            <w:r>
              <w:rPr>
                <w:webHidden/>
              </w:rPr>
              <w:tab/>
            </w:r>
            <w:r>
              <w:rPr>
                <w:webHidden/>
              </w:rPr>
              <w:fldChar w:fldCharType="begin"/>
            </w:r>
            <w:r>
              <w:rPr>
                <w:webHidden/>
              </w:rPr>
              <w:instrText xml:space="preserve"> PAGEREF _Toc192774858 \h </w:instrText>
            </w:r>
            <w:r>
              <w:rPr>
                <w:webHidden/>
              </w:rPr>
            </w:r>
            <w:r>
              <w:rPr>
                <w:webHidden/>
              </w:rPr>
              <w:fldChar w:fldCharType="separate"/>
            </w:r>
            <w:r>
              <w:rPr>
                <w:webHidden/>
              </w:rPr>
              <w:t>4</w:t>
            </w:r>
            <w:r>
              <w:rPr>
                <w:webHidden/>
              </w:rPr>
              <w:fldChar w:fldCharType="end"/>
            </w:r>
          </w:hyperlink>
        </w:p>
        <w:p w14:paraId="4B0F5C9D" w14:textId="3B186A5F"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59" w:history="1">
            <w:r w:rsidRPr="002F6E2A">
              <w:rPr>
                <w:rStyle w:val="Hyperlink"/>
              </w:rPr>
              <w:t>1.2</w:t>
            </w:r>
            <w:r>
              <w:rPr>
                <w:rFonts w:asciiTheme="minorHAnsi" w:eastAsiaTheme="minorEastAsia" w:hAnsiTheme="minorHAnsi" w:cstheme="minorBidi"/>
                <w:color w:val="auto"/>
                <w:kern w:val="2"/>
                <w:sz w:val="24"/>
                <w:szCs w:val="24"/>
                <w14:ligatures w14:val="standardContextual"/>
              </w:rPr>
              <w:tab/>
            </w:r>
            <w:r w:rsidRPr="002F6E2A">
              <w:rPr>
                <w:rStyle w:val="Hyperlink"/>
              </w:rPr>
              <w:t>2024 Portfolio Savings</w:t>
            </w:r>
            <w:r>
              <w:rPr>
                <w:webHidden/>
              </w:rPr>
              <w:tab/>
            </w:r>
            <w:r>
              <w:rPr>
                <w:webHidden/>
              </w:rPr>
              <w:fldChar w:fldCharType="begin"/>
            </w:r>
            <w:r>
              <w:rPr>
                <w:webHidden/>
              </w:rPr>
              <w:instrText xml:space="preserve"> PAGEREF _Toc192774859 \h </w:instrText>
            </w:r>
            <w:r>
              <w:rPr>
                <w:webHidden/>
              </w:rPr>
            </w:r>
            <w:r>
              <w:rPr>
                <w:webHidden/>
              </w:rPr>
              <w:fldChar w:fldCharType="separate"/>
            </w:r>
            <w:r>
              <w:rPr>
                <w:webHidden/>
              </w:rPr>
              <w:t>7</w:t>
            </w:r>
            <w:r>
              <w:rPr>
                <w:webHidden/>
              </w:rPr>
              <w:fldChar w:fldCharType="end"/>
            </w:r>
          </w:hyperlink>
        </w:p>
        <w:p w14:paraId="2760D485" w14:textId="2EAB2EF7"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60" w:history="1">
            <w:r w:rsidRPr="002F6E2A">
              <w:rPr>
                <w:rStyle w:val="Hyperlink"/>
              </w:rPr>
              <w:t>2.</w:t>
            </w:r>
            <w:r>
              <w:rPr>
                <w:rFonts w:asciiTheme="minorHAnsi" w:eastAsiaTheme="minorEastAsia" w:hAnsiTheme="minorHAnsi" w:cstheme="minorBidi"/>
                <w:color w:val="auto"/>
                <w:kern w:val="2"/>
                <w:sz w:val="24"/>
                <w:szCs w:val="24"/>
                <w14:ligatures w14:val="standardContextual"/>
              </w:rPr>
              <w:tab/>
            </w:r>
            <w:r w:rsidRPr="002F6E2A">
              <w:rPr>
                <w:rStyle w:val="Hyperlink"/>
              </w:rPr>
              <w:t>Evaluation Approach</w:t>
            </w:r>
            <w:r>
              <w:rPr>
                <w:webHidden/>
              </w:rPr>
              <w:tab/>
            </w:r>
            <w:r>
              <w:rPr>
                <w:webHidden/>
              </w:rPr>
              <w:fldChar w:fldCharType="begin"/>
            </w:r>
            <w:r>
              <w:rPr>
                <w:webHidden/>
              </w:rPr>
              <w:instrText xml:space="preserve"> PAGEREF _Toc192774860 \h </w:instrText>
            </w:r>
            <w:r>
              <w:rPr>
                <w:webHidden/>
              </w:rPr>
            </w:r>
            <w:r>
              <w:rPr>
                <w:webHidden/>
              </w:rPr>
              <w:fldChar w:fldCharType="separate"/>
            </w:r>
            <w:r>
              <w:rPr>
                <w:webHidden/>
              </w:rPr>
              <w:t>10</w:t>
            </w:r>
            <w:r>
              <w:rPr>
                <w:webHidden/>
              </w:rPr>
              <w:fldChar w:fldCharType="end"/>
            </w:r>
          </w:hyperlink>
        </w:p>
        <w:p w14:paraId="48C5B1DB" w14:textId="187826B8"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1" w:history="1">
            <w:r w:rsidRPr="002F6E2A">
              <w:rPr>
                <w:rStyle w:val="Hyperlink"/>
              </w:rPr>
              <w:t>2.1</w:t>
            </w:r>
            <w:r>
              <w:rPr>
                <w:rFonts w:asciiTheme="minorHAnsi" w:eastAsiaTheme="minorEastAsia" w:hAnsiTheme="minorHAnsi" w:cstheme="minorBidi"/>
                <w:color w:val="auto"/>
                <w:kern w:val="2"/>
                <w:sz w:val="24"/>
                <w:szCs w:val="24"/>
                <w14:ligatures w14:val="standardContextual"/>
              </w:rPr>
              <w:tab/>
            </w:r>
            <w:r w:rsidRPr="002F6E2A">
              <w:rPr>
                <w:rStyle w:val="Hyperlink"/>
              </w:rPr>
              <w:t>Research Objectives</w:t>
            </w:r>
            <w:r>
              <w:rPr>
                <w:webHidden/>
              </w:rPr>
              <w:tab/>
            </w:r>
            <w:r>
              <w:rPr>
                <w:webHidden/>
              </w:rPr>
              <w:fldChar w:fldCharType="begin"/>
            </w:r>
            <w:r>
              <w:rPr>
                <w:webHidden/>
              </w:rPr>
              <w:instrText xml:space="preserve"> PAGEREF _Toc192774861 \h </w:instrText>
            </w:r>
            <w:r>
              <w:rPr>
                <w:webHidden/>
              </w:rPr>
            </w:r>
            <w:r>
              <w:rPr>
                <w:webHidden/>
              </w:rPr>
              <w:fldChar w:fldCharType="separate"/>
            </w:r>
            <w:r>
              <w:rPr>
                <w:webHidden/>
              </w:rPr>
              <w:t>10</w:t>
            </w:r>
            <w:r>
              <w:rPr>
                <w:webHidden/>
              </w:rPr>
              <w:fldChar w:fldCharType="end"/>
            </w:r>
          </w:hyperlink>
        </w:p>
        <w:p w14:paraId="6344F998" w14:textId="6069602E"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2" w:history="1">
            <w:r w:rsidRPr="002F6E2A">
              <w:rPr>
                <w:rStyle w:val="Hyperlink"/>
              </w:rPr>
              <w:t>2.2</w:t>
            </w:r>
            <w:r>
              <w:rPr>
                <w:rFonts w:asciiTheme="minorHAnsi" w:eastAsiaTheme="minorEastAsia" w:hAnsiTheme="minorHAnsi" w:cstheme="minorBidi"/>
                <w:color w:val="auto"/>
                <w:kern w:val="2"/>
                <w:sz w:val="24"/>
                <w:szCs w:val="24"/>
                <w14:ligatures w14:val="standardContextual"/>
              </w:rPr>
              <w:tab/>
            </w:r>
            <w:r w:rsidRPr="002F6E2A">
              <w:rPr>
                <w:rStyle w:val="Hyperlink"/>
              </w:rPr>
              <w:t>Verified Gross Impact Analysis Approach</w:t>
            </w:r>
            <w:r>
              <w:rPr>
                <w:webHidden/>
              </w:rPr>
              <w:tab/>
            </w:r>
            <w:r>
              <w:rPr>
                <w:webHidden/>
              </w:rPr>
              <w:fldChar w:fldCharType="begin"/>
            </w:r>
            <w:r>
              <w:rPr>
                <w:webHidden/>
              </w:rPr>
              <w:instrText xml:space="preserve"> PAGEREF _Toc192774862 \h </w:instrText>
            </w:r>
            <w:r>
              <w:rPr>
                <w:webHidden/>
              </w:rPr>
            </w:r>
            <w:r>
              <w:rPr>
                <w:webHidden/>
              </w:rPr>
              <w:fldChar w:fldCharType="separate"/>
            </w:r>
            <w:r>
              <w:rPr>
                <w:webHidden/>
              </w:rPr>
              <w:t>11</w:t>
            </w:r>
            <w:r>
              <w:rPr>
                <w:webHidden/>
              </w:rPr>
              <w:fldChar w:fldCharType="end"/>
            </w:r>
          </w:hyperlink>
        </w:p>
        <w:p w14:paraId="682830A8" w14:textId="6CC8AE27"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3" w:history="1">
            <w:r w:rsidRPr="002F6E2A">
              <w:rPr>
                <w:rStyle w:val="Hyperlink"/>
              </w:rPr>
              <w:t>2.3</w:t>
            </w:r>
            <w:r>
              <w:rPr>
                <w:rFonts w:asciiTheme="minorHAnsi" w:eastAsiaTheme="minorEastAsia" w:hAnsiTheme="minorHAnsi" w:cstheme="minorBidi"/>
                <w:color w:val="auto"/>
                <w:kern w:val="2"/>
                <w:sz w:val="24"/>
                <w:szCs w:val="24"/>
                <w14:ligatures w14:val="standardContextual"/>
              </w:rPr>
              <w:tab/>
            </w:r>
            <w:r w:rsidRPr="002F6E2A">
              <w:rPr>
                <w:rStyle w:val="Hyperlink"/>
              </w:rPr>
              <w:t>Verified Net Impact Analysis Approach</w:t>
            </w:r>
            <w:r>
              <w:rPr>
                <w:webHidden/>
              </w:rPr>
              <w:tab/>
            </w:r>
            <w:r>
              <w:rPr>
                <w:webHidden/>
              </w:rPr>
              <w:fldChar w:fldCharType="begin"/>
            </w:r>
            <w:r>
              <w:rPr>
                <w:webHidden/>
              </w:rPr>
              <w:instrText xml:space="preserve"> PAGEREF _Toc192774863 \h </w:instrText>
            </w:r>
            <w:r>
              <w:rPr>
                <w:webHidden/>
              </w:rPr>
            </w:r>
            <w:r>
              <w:rPr>
                <w:webHidden/>
              </w:rPr>
              <w:fldChar w:fldCharType="separate"/>
            </w:r>
            <w:r>
              <w:rPr>
                <w:webHidden/>
              </w:rPr>
              <w:t>12</w:t>
            </w:r>
            <w:r>
              <w:rPr>
                <w:webHidden/>
              </w:rPr>
              <w:fldChar w:fldCharType="end"/>
            </w:r>
          </w:hyperlink>
        </w:p>
        <w:p w14:paraId="68DF8135" w14:textId="3149E94D"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4" w:history="1">
            <w:r w:rsidRPr="002F6E2A">
              <w:rPr>
                <w:rStyle w:val="Hyperlink"/>
              </w:rPr>
              <w:t>2.4</w:t>
            </w:r>
            <w:r>
              <w:rPr>
                <w:rFonts w:asciiTheme="minorHAnsi" w:eastAsiaTheme="minorEastAsia" w:hAnsiTheme="minorHAnsi" w:cstheme="minorBidi"/>
                <w:color w:val="auto"/>
                <w:kern w:val="2"/>
                <w:sz w:val="24"/>
                <w:szCs w:val="24"/>
                <w14:ligatures w14:val="standardContextual"/>
              </w:rPr>
              <w:tab/>
            </w:r>
            <w:r w:rsidRPr="002F6E2A">
              <w:rPr>
                <w:rStyle w:val="Hyperlink"/>
              </w:rPr>
              <w:t>Sources and Mitigation of Error</w:t>
            </w:r>
            <w:r>
              <w:rPr>
                <w:webHidden/>
              </w:rPr>
              <w:tab/>
            </w:r>
            <w:r>
              <w:rPr>
                <w:webHidden/>
              </w:rPr>
              <w:fldChar w:fldCharType="begin"/>
            </w:r>
            <w:r>
              <w:rPr>
                <w:webHidden/>
              </w:rPr>
              <w:instrText xml:space="preserve"> PAGEREF _Toc192774864 \h </w:instrText>
            </w:r>
            <w:r>
              <w:rPr>
                <w:webHidden/>
              </w:rPr>
            </w:r>
            <w:r>
              <w:rPr>
                <w:webHidden/>
              </w:rPr>
              <w:fldChar w:fldCharType="separate"/>
            </w:r>
            <w:r>
              <w:rPr>
                <w:webHidden/>
              </w:rPr>
              <w:t>13</w:t>
            </w:r>
            <w:r>
              <w:rPr>
                <w:webHidden/>
              </w:rPr>
              <w:fldChar w:fldCharType="end"/>
            </w:r>
          </w:hyperlink>
        </w:p>
        <w:p w14:paraId="616CC8D6" w14:textId="6FD06582"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65" w:history="1">
            <w:r w:rsidRPr="002F6E2A">
              <w:rPr>
                <w:rStyle w:val="Hyperlink"/>
              </w:rPr>
              <w:t>3.</w:t>
            </w:r>
            <w:r>
              <w:rPr>
                <w:rFonts w:asciiTheme="minorHAnsi" w:eastAsiaTheme="minorEastAsia" w:hAnsiTheme="minorHAnsi" w:cstheme="minorBidi"/>
                <w:color w:val="auto"/>
                <w:kern w:val="2"/>
                <w:sz w:val="24"/>
                <w:szCs w:val="24"/>
                <w14:ligatures w14:val="standardContextual"/>
              </w:rPr>
              <w:tab/>
            </w:r>
            <w:r w:rsidRPr="002F6E2A">
              <w:rPr>
                <w:rStyle w:val="Hyperlink"/>
              </w:rPr>
              <w:t>Portfolio Verified Savings</w:t>
            </w:r>
            <w:r>
              <w:rPr>
                <w:webHidden/>
              </w:rPr>
              <w:tab/>
            </w:r>
            <w:r>
              <w:rPr>
                <w:webHidden/>
              </w:rPr>
              <w:fldChar w:fldCharType="begin"/>
            </w:r>
            <w:r>
              <w:rPr>
                <w:webHidden/>
              </w:rPr>
              <w:instrText xml:space="preserve"> PAGEREF _Toc192774865 \h </w:instrText>
            </w:r>
            <w:r>
              <w:rPr>
                <w:webHidden/>
              </w:rPr>
            </w:r>
            <w:r>
              <w:rPr>
                <w:webHidden/>
              </w:rPr>
              <w:fldChar w:fldCharType="separate"/>
            </w:r>
            <w:r>
              <w:rPr>
                <w:webHidden/>
              </w:rPr>
              <w:t>16</w:t>
            </w:r>
            <w:r>
              <w:rPr>
                <w:webHidden/>
              </w:rPr>
              <w:fldChar w:fldCharType="end"/>
            </w:r>
          </w:hyperlink>
        </w:p>
        <w:p w14:paraId="256199E1" w14:textId="4CF26186"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6" w:history="1">
            <w:r w:rsidRPr="002F6E2A">
              <w:rPr>
                <w:rStyle w:val="Hyperlink"/>
              </w:rPr>
              <w:t>3.1</w:t>
            </w:r>
            <w:r>
              <w:rPr>
                <w:rFonts w:asciiTheme="minorHAnsi" w:eastAsiaTheme="minorEastAsia" w:hAnsiTheme="minorHAnsi" w:cstheme="minorBidi"/>
                <w:color w:val="auto"/>
                <w:kern w:val="2"/>
                <w:sz w:val="24"/>
                <w:szCs w:val="24"/>
                <w14:ligatures w14:val="standardContextual"/>
              </w:rPr>
              <w:tab/>
            </w:r>
            <w:r w:rsidRPr="002F6E2A">
              <w:rPr>
                <w:rStyle w:val="Hyperlink"/>
              </w:rPr>
              <w:t>2024 Residential Program Annual Savings</w:t>
            </w:r>
            <w:r>
              <w:rPr>
                <w:webHidden/>
              </w:rPr>
              <w:tab/>
            </w:r>
            <w:r>
              <w:rPr>
                <w:webHidden/>
              </w:rPr>
              <w:fldChar w:fldCharType="begin"/>
            </w:r>
            <w:r>
              <w:rPr>
                <w:webHidden/>
              </w:rPr>
              <w:instrText xml:space="preserve"> PAGEREF _Toc192774866 \h </w:instrText>
            </w:r>
            <w:r>
              <w:rPr>
                <w:webHidden/>
              </w:rPr>
            </w:r>
            <w:r>
              <w:rPr>
                <w:webHidden/>
              </w:rPr>
              <w:fldChar w:fldCharType="separate"/>
            </w:r>
            <w:r>
              <w:rPr>
                <w:webHidden/>
              </w:rPr>
              <w:t>16</w:t>
            </w:r>
            <w:r>
              <w:rPr>
                <w:webHidden/>
              </w:rPr>
              <w:fldChar w:fldCharType="end"/>
            </w:r>
          </w:hyperlink>
        </w:p>
        <w:p w14:paraId="2C5901F0" w14:textId="4E61CB05"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7" w:history="1">
            <w:r w:rsidRPr="002F6E2A">
              <w:rPr>
                <w:rStyle w:val="Hyperlink"/>
              </w:rPr>
              <w:t>3.2</w:t>
            </w:r>
            <w:r>
              <w:rPr>
                <w:rFonts w:asciiTheme="minorHAnsi" w:eastAsiaTheme="minorEastAsia" w:hAnsiTheme="minorHAnsi" w:cstheme="minorBidi"/>
                <w:color w:val="auto"/>
                <w:kern w:val="2"/>
                <w:sz w:val="24"/>
                <w:szCs w:val="24"/>
                <w14:ligatures w14:val="standardContextual"/>
              </w:rPr>
              <w:tab/>
            </w:r>
            <w:r w:rsidRPr="002F6E2A">
              <w:rPr>
                <w:rStyle w:val="Hyperlink"/>
              </w:rPr>
              <w:t>2024 Business Program Annual Savings</w:t>
            </w:r>
            <w:r>
              <w:rPr>
                <w:webHidden/>
              </w:rPr>
              <w:tab/>
            </w:r>
            <w:r>
              <w:rPr>
                <w:webHidden/>
              </w:rPr>
              <w:fldChar w:fldCharType="begin"/>
            </w:r>
            <w:r>
              <w:rPr>
                <w:webHidden/>
              </w:rPr>
              <w:instrText xml:space="preserve"> PAGEREF _Toc192774867 \h </w:instrText>
            </w:r>
            <w:r>
              <w:rPr>
                <w:webHidden/>
              </w:rPr>
            </w:r>
            <w:r>
              <w:rPr>
                <w:webHidden/>
              </w:rPr>
              <w:fldChar w:fldCharType="separate"/>
            </w:r>
            <w:r>
              <w:rPr>
                <w:webHidden/>
              </w:rPr>
              <w:t>18</w:t>
            </w:r>
            <w:r>
              <w:rPr>
                <w:webHidden/>
              </w:rPr>
              <w:fldChar w:fldCharType="end"/>
            </w:r>
          </w:hyperlink>
        </w:p>
        <w:p w14:paraId="6DAC2CAD" w14:textId="7A707C56"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8" w:history="1">
            <w:r w:rsidRPr="002F6E2A">
              <w:rPr>
                <w:rStyle w:val="Hyperlink"/>
              </w:rPr>
              <w:t>3.3</w:t>
            </w:r>
            <w:r>
              <w:rPr>
                <w:rFonts w:asciiTheme="minorHAnsi" w:eastAsiaTheme="minorEastAsia" w:hAnsiTheme="minorHAnsi" w:cstheme="minorBidi"/>
                <w:color w:val="auto"/>
                <w:kern w:val="2"/>
                <w:sz w:val="24"/>
                <w:szCs w:val="24"/>
                <w14:ligatures w14:val="standardContextual"/>
              </w:rPr>
              <w:tab/>
            </w:r>
            <w:r w:rsidRPr="002F6E2A">
              <w:rPr>
                <w:rStyle w:val="Hyperlink"/>
              </w:rPr>
              <w:t>2024 Voltage Optimization Program Annual Savings</w:t>
            </w:r>
            <w:r>
              <w:rPr>
                <w:webHidden/>
              </w:rPr>
              <w:tab/>
            </w:r>
            <w:r>
              <w:rPr>
                <w:webHidden/>
              </w:rPr>
              <w:fldChar w:fldCharType="begin"/>
            </w:r>
            <w:r>
              <w:rPr>
                <w:webHidden/>
              </w:rPr>
              <w:instrText xml:space="preserve"> PAGEREF _Toc192774868 \h </w:instrText>
            </w:r>
            <w:r>
              <w:rPr>
                <w:webHidden/>
              </w:rPr>
            </w:r>
            <w:r>
              <w:rPr>
                <w:webHidden/>
              </w:rPr>
              <w:fldChar w:fldCharType="separate"/>
            </w:r>
            <w:r>
              <w:rPr>
                <w:webHidden/>
              </w:rPr>
              <w:t>20</w:t>
            </w:r>
            <w:r>
              <w:rPr>
                <w:webHidden/>
              </w:rPr>
              <w:fldChar w:fldCharType="end"/>
            </w:r>
          </w:hyperlink>
        </w:p>
        <w:p w14:paraId="013AD68C" w14:textId="274E9BF0" w:rsidR="00F8548D" w:rsidRDefault="00F8548D">
          <w:pPr>
            <w:pStyle w:val="TOC2"/>
            <w:rPr>
              <w:rFonts w:asciiTheme="minorHAnsi" w:eastAsiaTheme="minorEastAsia" w:hAnsiTheme="minorHAnsi" w:cstheme="minorBidi"/>
              <w:color w:val="auto"/>
              <w:kern w:val="2"/>
              <w:sz w:val="24"/>
              <w:szCs w:val="24"/>
              <w14:ligatures w14:val="standardContextual"/>
            </w:rPr>
          </w:pPr>
          <w:hyperlink w:anchor="_Toc192774869" w:history="1">
            <w:r w:rsidRPr="002F6E2A">
              <w:rPr>
                <w:rStyle w:val="Hyperlink"/>
              </w:rPr>
              <w:t>3.4</w:t>
            </w:r>
            <w:r>
              <w:rPr>
                <w:rFonts w:asciiTheme="minorHAnsi" w:eastAsiaTheme="minorEastAsia" w:hAnsiTheme="minorHAnsi" w:cstheme="minorBidi"/>
                <w:color w:val="auto"/>
                <w:kern w:val="2"/>
                <w:sz w:val="24"/>
                <w:szCs w:val="24"/>
                <w14:ligatures w14:val="standardContextual"/>
              </w:rPr>
              <w:tab/>
            </w:r>
            <w:r w:rsidRPr="002F6E2A">
              <w:rPr>
                <w:rStyle w:val="Hyperlink"/>
              </w:rPr>
              <w:t>Savings Conversions</w:t>
            </w:r>
            <w:r>
              <w:rPr>
                <w:webHidden/>
              </w:rPr>
              <w:tab/>
            </w:r>
            <w:r>
              <w:rPr>
                <w:webHidden/>
              </w:rPr>
              <w:fldChar w:fldCharType="begin"/>
            </w:r>
            <w:r>
              <w:rPr>
                <w:webHidden/>
              </w:rPr>
              <w:instrText xml:space="preserve"> PAGEREF _Toc192774869 \h </w:instrText>
            </w:r>
            <w:r>
              <w:rPr>
                <w:webHidden/>
              </w:rPr>
            </w:r>
            <w:r>
              <w:rPr>
                <w:webHidden/>
              </w:rPr>
              <w:fldChar w:fldCharType="separate"/>
            </w:r>
            <w:r>
              <w:rPr>
                <w:webHidden/>
              </w:rPr>
              <w:t>20</w:t>
            </w:r>
            <w:r>
              <w:rPr>
                <w:webHidden/>
              </w:rPr>
              <w:fldChar w:fldCharType="end"/>
            </w:r>
          </w:hyperlink>
        </w:p>
        <w:p w14:paraId="49456956" w14:textId="5B6AB38C"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70" w:history="1">
            <w:r w:rsidRPr="002F6E2A">
              <w:rPr>
                <w:rStyle w:val="Hyperlink"/>
              </w:rPr>
              <w:t>4.</w:t>
            </w:r>
            <w:r>
              <w:rPr>
                <w:rFonts w:asciiTheme="minorHAnsi" w:eastAsiaTheme="minorEastAsia" w:hAnsiTheme="minorHAnsi" w:cstheme="minorBidi"/>
                <w:color w:val="auto"/>
                <w:kern w:val="2"/>
                <w:sz w:val="24"/>
                <w:szCs w:val="24"/>
                <w14:ligatures w14:val="standardContextual"/>
              </w:rPr>
              <w:tab/>
            </w:r>
            <w:r w:rsidRPr="002F6E2A">
              <w:rPr>
                <w:rStyle w:val="Hyperlink"/>
              </w:rPr>
              <w:t>Portfolio Economic and Employment Impacts</w:t>
            </w:r>
            <w:r>
              <w:rPr>
                <w:webHidden/>
              </w:rPr>
              <w:tab/>
            </w:r>
            <w:r>
              <w:rPr>
                <w:webHidden/>
              </w:rPr>
              <w:fldChar w:fldCharType="begin"/>
            </w:r>
            <w:r>
              <w:rPr>
                <w:webHidden/>
              </w:rPr>
              <w:instrText xml:space="preserve"> PAGEREF _Toc192774870 \h </w:instrText>
            </w:r>
            <w:r>
              <w:rPr>
                <w:webHidden/>
              </w:rPr>
            </w:r>
            <w:r>
              <w:rPr>
                <w:webHidden/>
              </w:rPr>
              <w:fldChar w:fldCharType="separate"/>
            </w:r>
            <w:r>
              <w:rPr>
                <w:webHidden/>
              </w:rPr>
              <w:t>23</w:t>
            </w:r>
            <w:r>
              <w:rPr>
                <w:webHidden/>
              </w:rPr>
              <w:fldChar w:fldCharType="end"/>
            </w:r>
          </w:hyperlink>
        </w:p>
        <w:p w14:paraId="06E6F618" w14:textId="6A2D9D4E"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71" w:history="1">
            <w:r w:rsidRPr="002F6E2A">
              <w:rPr>
                <w:rStyle w:val="Hyperlink"/>
              </w:rPr>
              <w:t>Appendix A.</w:t>
            </w:r>
            <w:r>
              <w:rPr>
                <w:rFonts w:asciiTheme="minorHAnsi" w:eastAsiaTheme="minorEastAsia" w:hAnsiTheme="minorHAnsi" w:cstheme="minorBidi"/>
                <w:color w:val="auto"/>
                <w:kern w:val="2"/>
                <w:sz w:val="24"/>
                <w:szCs w:val="24"/>
                <w14:ligatures w14:val="standardContextual"/>
              </w:rPr>
              <w:tab/>
            </w:r>
            <w:r w:rsidRPr="002F6E2A">
              <w:rPr>
                <w:rStyle w:val="Hyperlink"/>
              </w:rPr>
              <w:t>2024 Detailed Verified Savings Results</w:t>
            </w:r>
            <w:r>
              <w:rPr>
                <w:webHidden/>
              </w:rPr>
              <w:tab/>
            </w:r>
            <w:r>
              <w:rPr>
                <w:webHidden/>
              </w:rPr>
              <w:fldChar w:fldCharType="begin"/>
            </w:r>
            <w:r>
              <w:rPr>
                <w:webHidden/>
              </w:rPr>
              <w:instrText xml:space="preserve"> PAGEREF _Toc192774871 \h </w:instrText>
            </w:r>
            <w:r>
              <w:rPr>
                <w:webHidden/>
              </w:rPr>
            </w:r>
            <w:r>
              <w:rPr>
                <w:webHidden/>
              </w:rPr>
              <w:fldChar w:fldCharType="separate"/>
            </w:r>
            <w:r>
              <w:rPr>
                <w:webHidden/>
              </w:rPr>
              <w:t>24</w:t>
            </w:r>
            <w:r>
              <w:rPr>
                <w:webHidden/>
              </w:rPr>
              <w:fldChar w:fldCharType="end"/>
            </w:r>
          </w:hyperlink>
        </w:p>
        <w:p w14:paraId="657B9A3C" w14:textId="3ECD10A0"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72" w:history="1">
            <w:r w:rsidRPr="002F6E2A">
              <w:rPr>
                <w:rStyle w:val="Hyperlink"/>
              </w:rPr>
              <w:t>Appendix B.</w:t>
            </w:r>
            <w:r>
              <w:rPr>
                <w:rFonts w:asciiTheme="minorHAnsi" w:eastAsiaTheme="minorEastAsia" w:hAnsiTheme="minorHAnsi" w:cstheme="minorBidi"/>
                <w:color w:val="auto"/>
                <w:kern w:val="2"/>
                <w:sz w:val="24"/>
                <w:szCs w:val="24"/>
                <w14:ligatures w14:val="standardContextual"/>
              </w:rPr>
              <w:tab/>
            </w:r>
            <w:r w:rsidRPr="002F6E2A">
              <w:rPr>
                <w:rStyle w:val="Hyperlink"/>
              </w:rPr>
              <w:t>2024 Program Evaluation Reports</w:t>
            </w:r>
            <w:r>
              <w:rPr>
                <w:webHidden/>
              </w:rPr>
              <w:tab/>
            </w:r>
            <w:r>
              <w:rPr>
                <w:webHidden/>
              </w:rPr>
              <w:fldChar w:fldCharType="begin"/>
            </w:r>
            <w:r>
              <w:rPr>
                <w:webHidden/>
              </w:rPr>
              <w:instrText xml:space="preserve"> PAGEREF _Toc192774872 \h </w:instrText>
            </w:r>
            <w:r>
              <w:rPr>
                <w:webHidden/>
              </w:rPr>
            </w:r>
            <w:r>
              <w:rPr>
                <w:webHidden/>
              </w:rPr>
              <w:fldChar w:fldCharType="separate"/>
            </w:r>
            <w:r>
              <w:rPr>
                <w:webHidden/>
              </w:rPr>
              <w:t>28</w:t>
            </w:r>
            <w:r>
              <w:rPr>
                <w:webHidden/>
              </w:rPr>
              <w:fldChar w:fldCharType="end"/>
            </w:r>
          </w:hyperlink>
        </w:p>
        <w:p w14:paraId="51D8CD62" w14:textId="2FC1DDCC"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73" w:history="1">
            <w:r w:rsidRPr="002F6E2A">
              <w:rPr>
                <w:rStyle w:val="Hyperlink"/>
              </w:rPr>
              <w:t>Appendix C.</w:t>
            </w:r>
            <w:r>
              <w:rPr>
                <w:rFonts w:asciiTheme="minorHAnsi" w:eastAsiaTheme="minorEastAsia" w:hAnsiTheme="minorHAnsi" w:cstheme="minorBidi"/>
                <w:color w:val="auto"/>
                <w:kern w:val="2"/>
                <w:sz w:val="24"/>
                <w:szCs w:val="24"/>
                <w14:ligatures w14:val="standardContextual"/>
              </w:rPr>
              <w:tab/>
            </w:r>
            <w:r w:rsidRPr="002F6E2A">
              <w:rPr>
                <w:rStyle w:val="Hyperlink"/>
              </w:rPr>
              <w:t>2024 Cumulative Persisting Annual Savings</w:t>
            </w:r>
            <w:r>
              <w:rPr>
                <w:webHidden/>
              </w:rPr>
              <w:tab/>
            </w:r>
            <w:r>
              <w:rPr>
                <w:webHidden/>
              </w:rPr>
              <w:fldChar w:fldCharType="begin"/>
            </w:r>
            <w:r>
              <w:rPr>
                <w:webHidden/>
              </w:rPr>
              <w:instrText xml:space="preserve"> PAGEREF _Toc192774873 \h </w:instrText>
            </w:r>
            <w:r>
              <w:rPr>
                <w:webHidden/>
              </w:rPr>
            </w:r>
            <w:r>
              <w:rPr>
                <w:webHidden/>
              </w:rPr>
              <w:fldChar w:fldCharType="separate"/>
            </w:r>
            <w:r>
              <w:rPr>
                <w:webHidden/>
              </w:rPr>
              <w:t>29</w:t>
            </w:r>
            <w:r>
              <w:rPr>
                <w:webHidden/>
              </w:rPr>
              <w:fldChar w:fldCharType="end"/>
            </w:r>
          </w:hyperlink>
        </w:p>
        <w:p w14:paraId="054BFD6D" w14:textId="098F3E8B" w:rsidR="00F8548D" w:rsidRDefault="00F8548D">
          <w:pPr>
            <w:pStyle w:val="TOC1"/>
            <w:rPr>
              <w:rFonts w:asciiTheme="minorHAnsi" w:eastAsiaTheme="minorEastAsia" w:hAnsiTheme="minorHAnsi" w:cstheme="minorBidi"/>
              <w:color w:val="auto"/>
              <w:kern w:val="2"/>
              <w:sz w:val="24"/>
              <w:szCs w:val="24"/>
              <w14:ligatures w14:val="standardContextual"/>
            </w:rPr>
          </w:pPr>
          <w:hyperlink w:anchor="_Toc192774874" w:history="1">
            <w:r w:rsidRPr="002F6E2A">
              <w:rPr>
                <w:rStyle w:val="Hyperlink"/>
              </w:rPr>
              <w:t>Appendix D.</w:t>
            </w:r>
            <w:r>
              <w:rPr>
                <w:rFonts w:asciiTheme="minorHAnsi" w:eastAsiaTheme="minorEastAsia" w:hAnsiTheme="minorHAnsi" w:cstheme="minorBidi"/>
                <w:color w:val="auto"/>
                <w:kern w:val="2"/>
                <w:sz w:val="24"/>
                <w:szCs w:val="24"/>
                <w14:ligatures w14:val="standardContextual"/>
              </w:rPr>
              <w:tab/>
            </w:r>
            <w:r w:rsidRPr="002F6E2A">
              <w:rPr>
                <w:rStyle w:val="Hyperlink"/>
              </w:rPr>
              <w:t>2024 High Impact Measure List</w:t>
            </w:r>
            <w:r>
              <w:rPr>
                <w:webHidden/>
              </w:rPr>
              <w:tab/>
            </w:r>
            <w:r>
              <w:rPr>
                <w:webHidden/>
              </w:rPr>
              <w:fldChar w:fldCharType="begin"/>
            </w:r>
            <w:r>
              <w:rPr>
                <w:webHidden/>
              </w:rPr>
              <w:instrText xml:space="preserve"> PAGEREF _Toc192774874 \h </w:instrText>
            </w:r>
            <w:r>
              <w:rPr>
                <w:webHidden/>
              </w:rPr>
            </w:r>
            <w:r>
              <w:rPr>
                <w:webHidden/>
              </w:rPr>
              <w:fldChar w:fldCharType="separate"/>
            </w:r>
            <w:r>
              <w:rPr>
                <w:webHidden/>
              </w:rPr>
              <w:t>32</w:t>
            </w:r>
            <w:r>
              <w:rPr>
                <w:webHidden/>
              </w:rPr>
              <w:fldChar w:fldCharType="end"/>
            </w:r>
          </w:hyperlink>
        </w:p>
        <w:p w14:paraId="2673CEE9" w14:textId="4F45E363" w:rsidR="00527C32" w:rsidRDefault="00527C32" w:rsidP="00527C32">
          <w:pPr>
            <w:tabs>
              <w:tab w:val="right" w:leader="dot" w:pos="10746"/>
            </w:tabs>
            <w:ind w:right="-4"/>
            <w:rPr>
              <w:noProof/>
            </w:rPr>
          </w:pPr>
          <w:r>
            <w:rPr>
              <w:noProof/>
            </w:rPr>
            <w:fldChar w:fldCharType="end"/>
          </w:r>
        </w:p>
        <w:p w14:paraId="43D58BCC" w14:textId="77777777" w:rsidR="00527C32" w:rsidRPr="003C4811" w:rsidRDefault="00527C32" w:rsidP="002C2C1C">
          <w:pPr>
            <w:pStyle w:val="TOAHeading"/>
          </w:pPr>
          <w:r w:rsidRPr="003C4811">
            <w:t>TABLES</w:t>
          </w:r>
        </w:p>
        <w:p w14:paraId="703F93AB" w14:textId="337C2755" w:rsidR="00F8548D" w:rsidRDefault="002C2C1C">
          <w:pPr>
            <w:pStyle w:val="TableofFigures"/>
            <w:rPr>
              <w:rFonts w:asciiTheme="minorHAnsi" w:eastAsiaTheme="minorEastAsia" w:hAnsiTheme="minorHAnsi" w:cstheme="minorBidi"/>
              <w:color w:val="auto"/>
              <w:kern w:val="2"/>
              <w:sz w:val="24"/>
              <w:szCs w:val="24"/>
              <w14:ligatures w14:val="standardContextual"/>
            </w:rPr>
          </w:pPr>
          <w:r>
            <w:fldChar w:fldCharType="begin"/>
          </w:r>
          <w:r>
            <w:instrText xml:space="preserve"> TOC \h \z \c "Table" </w:instrText>
          </w:r>
          <w:r>
            <w:fldChar w:fldCharType="separate"/>
          </w:r>
          <w:hyperlink w:anchor="_Toc192774875" w:history="1">
            <w:r w:rsidR="00F8548D" w:rsidRPr="009439EE">
              <w:rPr>
                <w:rStyle w:val="Hyperlink"/>
              </w:rPr>
              <w:t>Table 1. 2024 AIC Portfolio Annual Savings</w:t>
            </w:r>
            <w:r w:rsidR="00F8548D">
              <w:rPr>
                <w:webHidden/>
              </w:rPr>
              <w:tab/>
            </w:r>
            <w:r w:rsidR="00F8548D">
              <w:rPr>
                <w:webHidden/>
              </w:rPr>
              <w:fldChar w:fldCharType="begin"/>
            </w:r>
            <w:r w:rsidR="00F8548D">
              <w:rPr>
                <w:webHidden/>
              </w:rPr>
              <w:instrText xml:space="preserve"> PAGEREF _Toc192774875 \h </w:instrText>
            </w:r>
            <w:r w:rsidR="00F8548D">
              <w:rPr>
                <w:webHidden/>
              </w:rPr>
            </w:r>
            <w:r w:rsidR="00F8548D">
              <w:rPr>
                <w:webHidden/>
              </w:rPr>
              <w:fldChar w:fldCharType="separate"/>
            </w:r>
            <w:r w:rsidR="00F8548D">
              <w:rPr>
                <w:webHidden/>
              </w:rPr>
              <w:t>7</w:t>
            </w:r>
            <w:r w:rsidR="00F8548D">
              <w:rPr>
                <w:webHidden/>
              </w:rPr>
              <w:fldChar w:fldCharType="end"/>
            </w:r>
          </w:hyperlink>
        </w:p>
        <w:p w14:paraId="5210FFFB" w14:textId="35A8BAE6"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76" w:history="1">
            <w:r w:rsidRPr="009439EE">
              <w:rPr>
                <w:rStyle w:val="Hyperlink"/>
              </w:rPr>
              <w:t>Table 2. 2024 AIC Portfolio AAIG Achievement</w:t>
            </w:r>
            <w:r>
              <w:rPr>
                <w:webHidden/>
              </w:rPr>
              <w:tab/>
            </w:r>
            <w:r>
              <w:rPr>
                <w:webHidden/>
              </w:rPr>
              <w:fldChar w:fldCharType="begin"/>
            </w:r>
            <w:r>
              <w:rPr>
                <w:webHidden/>
              </w:rPr>
              <w:instrText xml:space="preserve"> PAGEREF _Toc192774876 \h </w:instrText>
            </w:r>
            <w:r>
              <w:rPr>
                <w:webHidden/>
              </w:rPr>
            </w:r>
            <w:r>
              <w:rPr>
                <w:webHidden/>
              </w:rPr>
              <w:fldChar w:fldCharType="separate"/>
            </w:r>
            <w:r>
              <w:rPr>
                <w:webHidden/>
              </w:rPr>
              <w:t>8</w:t>
            </w:r>
            <w:r>
              <w:rPr>
                <w:webHidden/>
              </w:rPr>
              <w:fldChar w:fldCharType="end"/>
            </w:r>
          </w:hyperlink>
        </w:p>
        <w:p w14:paraId="71391992" w14:textId="54C8B3D4"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77" w:history="1">
            <w:r w:rsidRPr="009439EE">
              <w:rPr>
                <w:rStyle w:val="Hyperlink"/>
              </w:rPr>
              <w:t>Table 3. 2024 AIC Portfolio CPAS and WAML</w:t>
            </w:r>
            <w:r>
              <w:rPr>
                <w:webHidden/>
              </w:rPr>
              <w:tab/>
            </w:r>
            <w:r>
              <w:rPr>
                <w:webHidden/>
              </w:rPr>
              <w:fldChar w:fldCharType="begin"/>
            </w:r>
            <w:r>
              <w:rPr>
                <w:webHidden/>
              </w:rPr>
              <w:instrText xml:space="preserve"> PAGEREF _Toc192774877 \h </w:instrText>
            </w:r>
            <w:r>
              <w:rPr>
                <w:webHidden/>
              </w:rPr>
            </w:r>
            <w:r>
              <w:rPr>
                <w:webHidden/>
              </w:rPr>
              <w:fldChar w:fldCharType="separate"/>
            </w:r>
            <w:r>
              <w:rPr>
                <w:webHidden/>
              </w:rPr>
              <w:t>8</w:t>
            </w:r>
            <w:r>
              <w:rPr>
                <w:webHidden/>
              </w:rPr>
              <w:fldChar w:fldCharType="end"/>
            </w:r>
          </w:hyperlink>
        </w:p>
        <w:p w14:paraId="3696EAA1" w14:textId="5880C3F2"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78" w:history="1">
            <w:r w:rsidRPr="009439EE">
              <w:rPr>
                <w:rStyle w:val="Hyperlink"/>
              </w:rPr>
              <w:t>Table 4. 2024 AIC Portfolio CPAS Goal Achievement</w:t>
            </w:r>
            <w:r>
              <w:rPr>
                <w:webHidden/>
              </w:rPr>
              <w:tab/>
            </w:r>
            <w:r>
              <w:rPr>
                <w:webHidden/>
              </w:rPr>
              <w:fldChar w:fldCharType="begin"/>
            </w:r>
            <w:r>
              <w:rPr>
                <w:webHidden/>
              </w:rPr>
              <w:instrText xml:space="preserve"> PAGEREF _Toc192774878 \h </w:instrText>
            </w:r>
            <w:r>
              <w:rPr>
                <w:webHidden/>
              </w:rPr>
            </w:r>
            <w:r>
              <w:rPr>
                <w:webHidden/>
              </w:rPr>
              <w:fldChar w:fldCharType="separate"/>
            </w:r>
            <w:r>
              <w:rPr>
                <w:webHidden/>
              </w:rPr>
              <w:t>9</w:t>
            </w:r>
            <w:r>
              <w:rPr>
                <w:webHidden/>
              </w:rPr>
              <w:fldChar w:fldCharType="end"/>
            </w:r>
          </w:hyperlink>
        </w:p>
        <w:p w14:paraId="56B3EE3D" w14:textId="79696C00"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79" w:history="1">
            <w:r w:rsidRPr="009439EE">
              <w:rPr>
                <w:rStyle w:val="Hyperlink"/>
              </w:rPr>
              <w:t>Table 5. 2024 Impact Evaluation Activities</w:t>
            </w:r>
            <w:r>
              <w:rPr>
                <w:webHidden/>
              </w:rPr>
              <w:tab/>
            </w:r>
            <w:r>
              <w:rPr>
                <w:webHidden/>
              </w:rPr>
              <w:fldChar w:fldCharType="begin"/>
            </w:r>
            <w:r>
              <w:rPr>
                <w:webHidden/>
              </w:rPr>
              <w:instrText xml:space="preserve"> PAGEREF _Toc192774879 \h </w:instrText>
            </w:r>
            <w:r>
              <w:rPr>
                <w:webHidden/>
              </w:rPr>
            </w:r>
            <w:r>
              <w:rPr>
                <w:webHidden/>
              </w:rPr>
              <w:fldChar w:fldCharType="separate"/>
            </w:r>
            <w:r>
              <w:rPr>
                <w:webHidden/>
              </w:rPr>
              <w:t>10</w:t>
            </w:r>
            <w:r>
              <w:rPr>
                <w:webHidden/>
              </w:rPr>
              <w:fldChar w:fldCharType="end"/>
            </w:r>
          </w:hyperlink>
        </w:p>
        <w:p w14:paraId="4FC78C80" w14:textId="2E77E969"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0" w:history="1">
            <w:r w:rsidRPr="009439EE">
              <w:rPr>
                <w:rStyle w:val="Hyperlink"/>
              </w:rPr>
              <w:t>Table 6. 2024 Residential Program Verified Net Savings Summary for Non-Income Qualified Initiatives</w:t>
            </w:r>
            <w:r>
              <w:rPr>
                <w:webHidden/>
              </w:rPr>
              <w:tab/>
            </w:r>
            <w:r>
              <w:rPr>
                <w:webHidden/>
              </w:rPr>
              <w:fldChar w:fldCharType="begin"/>
            </w:r>
            <w:r>
              <w:rPr>
                <w:webHidden/>
              </w:rPr>
              <w:instrText xml:space="preserve"> PAGEREF _Toc192774880 \h </w:instrText>
            </w:r>
            <w:r>
              <w:rPr>
                <w:webHidden/>
              </w:rPr>
            </w:r>
            <w:r>
              <w:rPr>
                <w:webHidden/>
              </w:rPr>
              <w:fldChar w:fldCharType="separate"/>
            </w:r>
            <w:r>
              <w:rPr>
                <w:webHidden/>
              </w:rPr>
              <w:t>13</w:t>
            </w:r>
            <w:r>
              <w:rPr>
                <w:webHidden/>
              </w:rPr>
              <w:fldChar w:fldCharType="end"/>
            </w:r>
          </w:hyperlink>
        </w:p>
        <w:p w14:paraId="3565EB62" w14:textId="4A7ABEE9"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1" w:history="1">
            <w:r w:rsidRPr="009439EE">
              <w:rPr>
                <w:rStyle w:val="Hyperlink"/>
              </w:rPr>
              <w:t>Table 7. 2024 Residential Program Electric Energy Annual Savings Summary</w:t>
            </w:r>
            <w:r>
              <w:rPr>
                <w:webHidden/>
              </w:rPr>
              <w:tab/>
            </w:r>
            <w:r>
              <w:rPr>
                <w:webHidden/>
              </w:rPr>
              <w:fldChar w:fldCharType="begin"/>
            </w:r>
            <w:r>
              <w:rPr>
                <w:webHidden/>
              </w:rPr>
              <w:instrText xml:space="preserve"> PAGEREF _Toc192774881 \h </w:instrText>
            </w:r>
            <w:r>
              <w:rPr>
                <w:webHidden/>
              </w:rPr>
            </w:r>
            <w:r>
              <w:rPr>
                <w:webHidden/>
              </w:rPr>
              <w:fldChar w:fldCharType="separate"/>
            </w:r>
            <w:r>
              <w:rPr>
                <w:webHidden/>
              </w:rPr>
              <w:t>16</w:t>
            </w:r>
            <w:r>
              <w:rPr>
                <w:webHidden/>
              </w:rPr>
              <w:fldChar w:fldCharType="end"/>
            </w:r>
          </w:hyperlink>
        </w:p>
        <w:p w14:paraId="2203E31F" w14:textId="58057E1F"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2" w:history="1">
            <w:r w:rsidRPr="009439EE">
              <w:rPr>
                <w:rStyle w:val="Hyperlink"/>
              </w:rPr>
              <w:t>Table 8. 2024 Residential Program Electric Demand Annual Savings Summary</w:t>
            </w:r>
            <w:r>
              <w:rPr>
                <w:webHidden/>
              </w:rPr>
              <w:tab/>
            </w:r>
            <w:r>
              <w:rPr>
                <w:webHidden/>
              </w:rPr>
              <w:fldChar w:fldCharType="begin"/>
            </w:r>
            <w:r>
              <w:rPr>
                <w:webHidden/>
              </w:rPr>
              <w:instrText xml:space="preserve"> PAGEREF _Toc192774882 \h </w:instrText>
            </w:r>
            <w:r>
              <w:rPr>
                <w:webHidden/>
              </w:rPr>
            </w:r>
            <w:r>
              <w:rPr>
                <w:webHidden/>
              </w:rPr>
              <w:fldChar w:fldCharType="separate"/>
            </w:r>
            <w:r>
              <w:rPr>
                <w:webHidden/>
              </w:rPr>
              <w:t>17</w:t>
            </w:r>
            <w:r>
              <w:rPr>
                <w:webHidden/>
              </w:rPr>
              <w:fldChar w:fldCharType="end"/>
            </w:r>
          </w:hyperlink>
        </w:p>
        <w:p w14:paraId="0A2CF1E9" w14:textId="0077907E"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3" w:history="1">
            <w:r w:rsidRPr="009439EE">
              <w:rPr>
                <w:rStyle w:val="Hyperlink"/>
              </w:rPr>
              <w:t>Table 9. 2024 Residential Program Gas Annual Savings Summary</w:t>
            </w:r>
            <w:r>
              <w:rPr>
                <w:webHidden/>
              </w:rPr>
              <w:tab/>
            </w:r>
            <w:r>
              <w:rPr>
                <w:webHidden/>
              </w:rPr>
              <w:fldChar w:fldCharType="begin"/>
            </w:r>
            <w:r>
              <w:rPr>
                <w:webHidden/>
              </w:rPr>
              <w:instrText xml:space="preserve"> PAGEREF _Toc192774883 \h </w:instrText>
            </w:r>
            <w:r>
              <w:rPr>
                <w:webHidden/>
              </w:rPr>
            </w:r>
            <w:r>
              <w:rPr>
                <w:webHidden/>
              </w:rPr>
              <w:fldChar w:fldCharType="separate"/>
            </w:r>
            <w:r>
              <w:rPr>
                <w:webHidden/>
              </w:rPr>
              <w:t>18</w:t>
            </w:r>
            <w:r>
              <w:rPr>
                <w:webHidden/>
              </w:rPr>
              <w:fldChar w:fldCharType="end"/>
            </w:r>
          </w:hyperlink>
        </w:p>
        <w:p w14:paraId="79491C5B" w14:textId="39E23384"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4" w:history="1">
            <w:r w:rsidRPr="009439EE">
              <w:rPr>
                <w:rStyle w:val="Hyperlink"/>
              </w:rPr>
              <w:t>Table 10. 2024 Business Program Electric Energy Annual Savings Summary</w:t>
            </w:r>
            <w:r>
              <w:rPr>
                <w:webHidden/>
              </w:rPr>
              <w:tab/>
            </w:r>
            <w:r>
              <w:rPr>
                <w:webHidden/>
              </w:rPr>
              <w:fldChar w:fldCharType="begin"/>
            </w:r>
            <w:r>
              <w:rPr>
                <w:webHidden/>
              </w:rPr>
              <w:instrText xml:space="preserve"> PAGEREF _Toc192774884 \h </w:instrText>
            </w:r>
            <w:r>
              <w:rPr>
                <w:webHidden/>
              </w:rPr>
            </w:r>
            <w:r>
              <w:rPr>
                <w:webHidden/>
              </w:rPr>
              <w:fldChar w:fldCharType="separate"/>
            </w:r>
            <w:r>
              <w:rPr>
                <w:webHidden/>
              </w:rPr>
              <w:t>18</w:t>
            </w:r>
            <w:r>
              <w:rPr>
                <w:webHidden/>
              </w:rPr>
              <w:fldChar w:fldCharType="end"/>
            </w:r>
          </w:hyperlink>
        </w:p>
        <w:p w14:paraId="04D1CF6A" w14:textId="4D6C3B63"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5" w:history="1">
            <w:r w:rsidRPr="009439EE">
              <w:rPr>
                <w:rStyle w:val="Hyperlink"/>
              </w:rPr>
              <w:t>Table 11. 2024 Business Program Electric Demand Annual Savings Summary</w:t>
            </w:r>
            <w:r>
              <w:rPr>
                <w:webHidden/>
              </w:rPr>
              <w:tab/>
            </w:r>
            <w:r>
              <w:rPr>
                <w:webHidden/>
              </w:rPr>
              <w:fldChar w:fldCharType="begin"/>
            </w:r>
            <w:r>
              <w:rPr>
                <w:webHidden/>
              </w:rPr>
              <w:instrText xml:space="preserve"> PAGEREF _Toc192774885 \h </w:instrText>
            </w:r>
            <w:r>
              <w:rPr>
                <w:webHidden/>
              </w:rPr>
            </w:r>
            <w:r>
              <w:rPr>
                <w:webHidden/>
              </w:rPr>
              <w:fldChar w:fldCharType="separate"/>
            </w:r>
            <w:r>
              <w:rPr>
                <w:webHidden/>
              </w:rPr>
              <w:t>19</w:t>
            </w:r>
            <w:r>
              <w:rPr>
                <w:webHidden/>
              </w:rPr>
              <w:fldChar w:fldCharType="end"/>
            </w:r>
          </w:hyperlink>
        </w:p>
        <w:p w14:paraId="000ECED5" w14:textId="40A69E34"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6" w:history="1">
            <w:r w:rsidRPr="009439EE">
              <w:rPr>
                <w:rStyle w:val="Hyperlink"/>
              </w:rPr>
              <w:t>Table 12. 2024 Business Program Gas Annual Savings Summary</w:t>
            </w:r>
            <w:r>
              <w:rPr>
                <w:webHidden/>
              </w:rPr>
              <w:tab/>
            </w:r>
            <w:r>
              <w:rPr>
                <w:webHidden/>
              </w:rPr>
              <w:fldChar w:fldCharType="begin"/>
            </w:r>
            <w:r>
              <w:rPr>
                <w:webHidden/>
              </w:rPr>
              <w:instrText xml:space="preserve"> PAGEREF _Toc192774886 \h </w:instrText>
            </w:r>
            <w:r>
              <w:rPr>
                <w:webHidden/>
              </w:rPr>
            </w:r>
            <w:r>
              <w:rPr>
                <w:webHidden/>
              </w:rPr>
              <w:fldChar w:fldCharType="separate"/>
            </w:r>
            <w:r>
              <w:rPr>
                <w:webHidden/>
              </w:rPr>
              <w:t>19</w:t>
            </w:r>
            <w:r>
              <w:rPr>
                <w:webHidden/>
              </w:rPr>
              <w:fldChar w:fldCharType="end"/>
            </w:r>
          </w:hyperlink>
        </w:p>
        <w:p w14:paraId="53217321" w14:textId="37825589"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7" w:history="1">
            <w:r w:rsidRPr="009439EE">
              <w:rPr>
                <w:rStyle w:val="Hyperlink"/>
              </w:rPr>
              <w:t>Table 13. 2024 Voltage Optimization Program Annual Savings Summary</w:t>
            </w:r>
            <w:r>
              <w:rPr>
                <w:webHidden/>
              </w:rPr>
              <w:tab/>
            </w:r>
            <w:r>
              <w:rPr>
                <w:webHidden/>
              </w:rPr>
              <w:fldChar w:fldCharType="begin"/>
            </w:r>
            <w:r>
              <w:rPr>
                <w:webHidden/>
              </w:rPr>
              <w:instrText xml:space="preserve"> PAGEREF _Toc192774887 \h </w:instrText>
            </w:r>
            <w:r>
              <w:rPr>
                <w:webHidden/>
              </w:rPr>
            </w:r>
            <w:r>
              <w:rPr>
                <w:webHidden/>
              </w:rPr>
              <w:fldChar w:fldCharType="separate"/>
            </w:r>
            <w:r>
              <w:rPr>
                <w:webHidden/>
              </w:rPr>
              <w:t>20</w:t>
            </w:r>
            <w:r>
              <w:rPr>
                <w:webHidden/>
              </w:rPr>
              <w:fldChar w:fldCharType="end"/>
            </w:r>
          </w:hyperlink>
        </w:p>
        <w:p w14:paraId="454AAA35" w14:textId="43ACF889"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8" w:history="1">
            <w:r w:rsidRPr="009439EE">
              <w:rPr>
                <w:rStyle w:val="Hyperlink"/>
              </w:rPr>
              <w:t>Table 14. 2024 AIC (b-25) Conversions</w:t>
            </w:r>
            <w:r>
              <w:rPr>
                <w:webHidden/>
              </w:rPr>
              <w:tab/>
            </w:r>
            <w:r>
              <w:rPr>
                <w:webHidden/>
              </w:rPr>
              <w:fldChar w:fldCharType="begin"/>
            </w:r>
            <w:r>
              <w:rPr>
                <w:webHidden/>
              </w:rPr>
              <w:instrText xml:space="preserve"> PAGEREF _Toc192774888 \h </w:instrText>
            </w:r>
            <w:r>
              <w:rPr>
                <w:webHidden/>
              </w:rPr>
            </w:r>
            <w:r>
              <w:rPr>
                <w:webHidden/>
              </w:rPr>
              <w:fldChar w:fldCharType="separate"/>
            </w:r>
            <w:r>
              <w:rPr>
                <w:webHidden/>
              </w:rPr>
              <w:t>21</w:t>
            </w:r>
            <w:r>
              <w:rPr>
                <w:webHidden/>
              </w:rPr>
              <w:fldChar w:fldCharType="end"/>
            </w:r>
          </w:hyperlink>
        </w:p>
        <w:p w14:paraId="5C7085F9" w14:textId="6C500F29"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89" w:history="1">
            <w:r w:rsidRPr="009439EE">
              <w:rPr>
                <w:rStyle w:val="Hyperlink"/>
              </w:rPr>
              <w:t>Table 15. 2024 AIC Electrification Savings</w:t>
            </w:r>
            <w:r>
              <w:rPr>
                <w:webHidden/>
              </w:rPr>
              <w:tab/>
            </w:r>
            <w:r>
              <w:rPr>
                <w:webHidden/>
              </w:rPr>
              <w:fldChar w:fldCharType="begin"/>
            </w:r>
            <w:r>
              <w:rPr>
                <w:webHidden/>
              </w:rPr>
              <w:instrText xml:space="preserve"> PAGEREF _Toc192774889 \h </w:instrText>
            </w:r>
            <w:r>
              <w:rPr>
                <w:webHidden/>
              </w:rPr>
            </w:r>
            <w:r>
              <w:rPr>
                <w:webHidden/>
              </w:rPr>
              <w:fldChar w:fldCharType="separate"/>
            </w:r>
            <w:r>
              <w:rPr>
                <w:webHidden/>
              </w:rPr>
              <w:t>22</w:t>
            </w:r>
            <w:r>
              <w:rPr>
                <w:webHidden/>
              </w:rPr>
              <w:fldChar w:fldCharType="end"/>
            </w:r>
          </w:hyperlink>
        </w:p>
        <w:p w14:paraId="63D08FAD" w14:textId="4BA92685"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90" w:history="1">
            <w:r w:rsidRPr="009439EE">
              <w:rPr>
                <w:rStyle w:val="Hyperlink"/>
              </w:rPr>
              <w:t>Table 16. 2024 AIC Portfolio Job and Macroeconomic Impacts</w:t>
            </w:r>
            <w:r>
              <w:rPr>
                <w:webHidden/>
              </w:rPr>
              <w:tab/>
            </w:r>
            <w:r>
              <w:rPr>
                <w:webHidden/>
              </w:rPr>
              <w:fldChar w:fldCharType="begin"/>
            </w:r>
            <w:r>
              <w:rPr>
                <w:webHidden/>
              </w:rPr>
              <w:instrText xml:space="preserve"> PAGEREF _Toc192774890 \h </w:instrText>
            </w:r>
            <w:r>
              <w:rPr>
                <w:webHidden/>
              </w:rPr>
            </w:r>
            <w:r>
              <w:rPr>
                <w:webHidden/>
              </w:rPr>
              <w:fldChar w:fldCharType="separate"/>
            </w:r>
            <w:r>
              <w:rPr>
                <w:webHidden/>
              </w:rPr>
              <w:t>23</w:t>
            </w:r>
            <w:r>
              <w:rPr>
                <w:webHidden/>
              </w:rPr>
              <w:fldChar w:fldCharType="end"/>
            </w:r>
          </w:hyperlink>
        </w:p>
        <w:p w14:paraId="5324C11B" w14:textId="03EB7A50"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91" w:history="1">
            <w:r w:rsidRPr="009439EE">
              <w:rPr>
                <w:rStyle w:val="Hyperlink"/>
              </w:rPr>
              <w:t>Table 17. 2024 Detailed Verified Savings Results – Electric</w:t>
            </w:r>
            <w:r>
              <w:rPr>
                <w:webHidden/>
              </w:rPr>
              <w:tab/>
            </w:r>
            <w:r>
              <w:rPr>
                <w:webHidden/>
              </w:rPr>
              <w:fldChar w:fldCharType="begin"/>
            </w:r>
            <w:r>
              <w:rPr>
                <w:webHidden/>
              </w:rPr>
              <w:instrText xml:space="preserve"> PAGEREF _Toc192774891 \h </w:instrText>
            </w:r>
            <w:r>
              <w:rPr>
                <w:webHidden/>
              </w:rPr>
            </w:r>
            <w:r>
              <w:rPr>
                <w:webHidden/>
              </w:rPr>
              <w:fldChar w:fldCharType="separate"/>
            </w:r>
            <w:r>
              <w:rPr>
                <w:webHidden/>
              </w:rPr>
              <w:t>24</w:t>
            </w:r>
            <w:r>
              <w:rPr>
                <w:webHidden/>
              </w:rPr>
              <w:fldChar w:fldCharType="end"/>
            </w:r>
          </w:hyperlink>
        </w:p>
        <w:p w14:paraId="4410F9CE" w14:textId="239D025F"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92" w:history="1">
            <w:r w:rsidRPr="009439EE">
              <w:rPr>
                <w:rStyle w:val="Hyperlink"/>
              </w:rPr>
              <w:t>Table 18. 2024 Detailed Verified Savings Results – Gas</w:t>
            </w:r>
            <w:r>
              <w:rPr>
                <w:webHidden/>
              </w:rPr>
              <w:tab/>
            </w:r>
            <w:r>
              <w:rPr>
                <w:webHidden/>
              </w:rPr>
              <w:fldChar w:fldCharType="begin"/>
            </w:r>
            <w:r>
              <w:rPr>
                <w:webHidden/>
              </w:rPr>
              <w:instrText xml:space="preserve"> PAGEREF _Toc192774892 \h </w:instrText>
            </w:r>
            <w:r>
              <w:rPr>
                <w:webHidden/>
              </w:rPr>
            </w:r>
            <w:r>
              <w:rPr>
                <w:webHidden/>
              </w:rPr>
              <w:fldChar w:fldCharType="separate"/>
            </w:r>
            <w:r>
              <w:rPr>
                <w:webHidden/>
              </w:rPr>
              <w:t>26</w:t>
            </w:r>
            <w:r>
              <w:rPr>
                <w:webHidden/>
              </w:rPr>
              <w:fldChar w:fldCharType="end"/>
            </w:r>
          </w:hyperlink>
        </w:p>
        <w:p w14:paraId="5A4C3B3C" w14:textId="6DAE1921" w:rsidR="00F8548D" w:rsidRDefault="00F8548D">
          <w:pPr>
            <w:pStyle w:val="TableofFigures"/>
            <w:rPr>
              <w:rFonts w:asciiTheme="minorHAnsi" w:eastAsiaTheme="minorEastAsia" w:hAnsiTheme="minorHAnsi" w:cstheme="minorBidi"/>
              <w:color w:val="auto"/>
              <w:kern w:val="2"/>
              <w:sz w:val="24"/>
              <w:szCs w:val="24"/>
              <w14:ligatures w14:val="standardContextual"/>
            </w:rPr>
          </w:pPr>
          <w:hyperlink w:anchor="_Toc192774893" w:history="1">
            <w:r w:rsidRPr="009439EE">
              <w:rPr>
                <w:rStyle w:val="Hyperlink"/>
              </w:rPr>
              <w:t>Table 19. 2024 AIC Portfolio CPAS and WAML</w:t>
            </w:r>
            <w:r>
              <w:rPr>
                <w:webHidden/>
              </w:rPr>
              <w:tab/>
            </w:r>
            <w:r>
              <w:rPr>
                <w:webHidden/>
              </w:rPr>
              <w:fldChar w:fldCharType="begin"/>
            </w:r>
            <w:r>
              <w:rPr>
                <w:webHidden/>
              </w:rPr>
              <w:instrText xml:space="preserve"> PAGEREF _Toc192774893 \h </w:instrText>
            </w:r>
            <w:r>
              <w:rPr>
                <w:webHidden/>
              </w:rPr>
            </w:r>
            <w:r>
              <w:rPr>
                <w:webHidden/>
              </w:rPr>
              <w:fldChar w:fldCharType="separate"/>
            </w:r>
            <w:r>
              <w:rPr>
                <w:webHidden/>
              </w:rPr>
              <w:t>29</w:t>
            </w:r>
            <w:r>
              <w:rPr>
                <w:webHidden/>
              </w:rPr>
              <w:fldChar w:fldCharType="end"/>
            </w:r>
          </w:hyperlink>
        </w:p>
        <w:p w14:paraId="44449632" w14:textId="3989601D" w:rsidR="00527C32" w:rsidRDefault="002C2C1C" w:rsidP="002C2C1C">
          <w:pPr>
            <w:rPr>
              <w:noProof/>
            </w:rPr>
          </w:pPr>
          <w:r>
            <w:fldChar w:fldCharType="end"/>
          </w:r>
        </w:p>
      </w:sdtContent>
    </w:sdt>
    <w:p w14:paraId="51ABD4EA" w14:textId="77777777" w:rsidR="00732AD4" w:rsidRDefault="00732AD4" w:rsidP="00732AD4"/>
    <w:p w14:paraId="4813FE0F" w14:textId="77777777" w:rsidR="00732AD4" w:rsidRPr="00732AD4" w:rsidRDefault="00732AD4" w:rsidP="00732AD4">
      <w:pPr>
        <w:sectPr w:rsidR="00732AD4" w:rsidRPr="00732AD4" w:rsidSect="00396BCB">
          <w:headerReference w:type="default" r:id="rId15"/>
          <w:footerReference w:type="default" r:id="rId16"/>
          <w:type w:val="continuous"/>
          <w:pgSz w:w="12240" w:h="15840" w:code="1"/>
          <w:pgMar w:top="39" w:right="567" w:bottom="567" w:left="567" w:header="142" w:footer="340" w:gutter="0"/>
          <w:cols w:space="708"/>
          <w:titlePg/>
          <w:docGrid w:linePitch="360"/>
        </w:sectPr>
      </w:pPr>
    </w:p>
    <w:p w14:paraId="42065240" w14:textId="1066D8D1" w:rsidR="00294548" w:rsidRDefault="00527C32" w:rsidP="006E68B0">
      <w:pPr>
        <w:pStyle w:val="Heading1"/>
      </w:pPr>
      <w:bookmarkStart w:id="0" w:name="_Toc192774857"/>
      <w:r>
        <w:lastRenderedPageBreak/>
        <w:t>Executive Summary</w:t>
      </w:r>
      <w:bookmarkEnd w:id="0"/>
    </w:p>
    <w:p w14:paraId="7E4420B0" w14:textId="37F80238" w:rsidR="00067DBC" w:rsidRDefault="00067DBC" w:rsidP="00067DBC">
      <w:r>
        <w:t xml:space="preserve">This report presents impact evaluation results from </w:t>
      </w:r>
      <w:proofErr w:type="gramStart"/>
      <w:r>
        <w:t>Ameren</w:t>
      </w:r>
      <w:proofErr w:type="gramEnd"/>
      <w:r>
        <w:t xml:space="preserve"> Illinois Company’s (AIC) portfolio of energy efficiency programs implemented during the 2024 calendar year. The overarching objective of the 2024 impact evaluation is to determine the gross and net electric energy, electric demand, and natural gas impacts associated with the AIC energy efficiency portfolio. The purpose of this report is to aggregate results from AIC’s Residential, Business, and Voltage Optimization Programs and present the utility’s performance relative to electric energy savings metrics codified in Illinois state law.</w:t>
      </w:r>
    </w:p>
    <w:p w14:paraId="16A6F5A7" w14:textId="77777777" w:rsidR="00067DBC" w:rsidRDefault="00067DBC" w:rsidP="00067DBC">
      <w:r>
        <w:t>Key performance metrics for the portfolio include:</w:t>
      </w:r>
    </w:p>
    <w:p w14:paraId="06FCFB14" w14:textId="77777777" w:rsidR="00F5586C" w:rsidRDefault="00F5586C" w:rsidP="00F5586C">
      <w:pPr>
        <w:pStyle w:val="ListBullet"/>
      </w:pPr>
      <w:r w:rsidRPr="00B63B6D">
        <w:rPr>
          <w:b/>
          <w:bCs/>
        </w:rPr>
        <w:t>Cumulative Persisting Annual Savings (CPAS):</w:t>
      </w:r>
      <w:r>
        <w:t xml:space="preserve"> Since 2018, electric energy savings goals for Illinois utilities have been primarily defined based on persisting savings as a percentage of sales. As such, annual evaluations of AIC’s electric energy efficiency programs must present both annual and persisting savings over the life of delivered measures. As a result, AIC and its program implementer have sought to deliver programs that achieve savings that persist for longer periods of time.</w:t>
      </w:r>
    </w:p>
    <w:p w14:paraId="3238E27E" w14:textId="77777777" w:rsidR="00F5586C" w:rsidRDefault="00F5586C" w:rsidP="00F5586C">
      <w:pPr>
        <w:pStyle w:val="ListBullet"/>
      </w:pPr>
      <w:r w:rsidRPr="00B63B6D">
        <w:rPr>
          <w:b/>
          <w:bCs/>
        </w:rPr>
        <w:t xml:space="preserve">Weighted Average Measure Life (WAML): </w:t>
      </w:r>
      <w:r>
        <w:t>Section 8-103B allows AIC to create a regulatory asset from all of its 8-103B expenditures, and amortize and recover the total expenditures of that regulatory asset “over a period that is equal to the weighted average of the measure lives implemented for that year that are reflected in the regulatory asset.”</w:t>
      </w:r>
      <w:r>
        <w:rPr>
          <w:rStyle w:val="FootnoteReference"/>
        </w:rPr>
        <w:footnoteReference w:id="1"/>
      </w:r>
      <w:r>
        <w:t xml:space="preserve"> Therefore, annual evaluations of AIC’s electric energy efficiency programs must present a WAML in accordance with the guidelines for calculation presented in the Illinois Stakeholder Advisory Group’s (SAG) WAML Report and the Illinois Energy Efficiency Policy Manual.</w:t>
      </w:r>
      <w:r>
        <w:rPr>
          <w:rStyle w:val="FootnoteReference"/>
        </w:rPr>
        <w:footnoteReference w:id="2"/>
      </w:r>
    </w:p>
    <w:p w14:paraId="4B55C667" w14:textId="77777777" w:rsidR="00F5586C" w:rsidRDefault="00F5586C" w:rsidP="00F5586C">
      <w:pPr>
        <w:pStyle w:val="ListBullet"/>
      </w:pPr>
      <w:r w:rsidRPr="00B63B6D">
        <w:rPr>
          <w:b/>
          <w:bCs/>
        </w:rPr>
        <w:t xml:space="preserve">Applicable Annual Incremental Goal (AAIG): </w:t>
      </w:r>
      <w:r>
        <w:t>Section 8-103B allows AIC to earn a rate of return on their electric energy efficiency spending if they create a regulatory asset, as discussed above. The rate of return that is earned can be adjusted either up or down as a function of AIC’s performance relative to its AAIG. The AAIG is defined as the difference between the cumulative persisting electric savings goal for the year being evaluated and the cumulative persisting electric savings goal for the previous year. AIC must achieve sufficient savings through its programs to replace savings from measures at the end of their measure life before progress can be counted toward the AAIG. Therefore, annual evaluations of AIC’s electric energy efficiency programs must assess AIC’s performance against its AAIG.</w:t>
      </w:r>
    </w:p>
    <w:p w14:paraId="53DB63E2" w14:textId="77777777" w:rsidR="00067DBC" w:rsidRDefault="00067DBC" w:rsidP="00067DBC">
      <w:pPr>
        <w:pStyle w:val="Heading2"/>
      </w:pPr>
      <w:r>
        <w:t xml:space="preserve"> </w:t>
      </w:r>
      <w:bookmarkStart w:id="1" w:name="_Toc192774858"/>
      <w:r>
        <w:t>Overview of the AIC Portfolio</w:t>
      </w:r>
      <w:bookmarkEnd w:id="1"/>
    </w:p>
    <w:p w14:paraId="22A4D3FF" w14:textId="5706FA97" w:rsidR="00067DBC" w:rsidRDefault="00067DBC" w:rsidP="00067DBC">
      <w:r>
        <w:t>AIC’s 202</w:t>
      </w:r>
      <w:r w:rsidR="00400F10">
        <w:t>4</w:t>
      </w:r>
      <w:r>
        <w:t xml:space="preserve"> portfolio is made up of three programs: the Residential Program, the Business Program, and the Voltage Optimization Program. The Residential and Business Programs are split into </w:t>
      </w:r>
      <w:proofErr w:type="gramStart"/>
      <w:r>
        <w:t>a number of</w:t>
      </w:r>
      <w:proofErr w:type="gramEnd"/>
      <w:r>
        <w:t xml:space="preserve"> initiatives, organized in our evaluations as detailed below:</w:t>
      </w:r>
    </w:p>
    <w:p w14:paraId="2865A9B1" w14:textId="77777777" w:rsidR="00067DBC" w:rsidRDefault="00067DBC" w:rsidP="00067DBC">
      <w:pPr>
        <w:pStyle w:val="ListBullet"/>
      </w:pPr>
      <w:r>
        <w:t xml:space="preserve">Residential Program </w:t>
      </w:r>
    </w:p>
    <w:p w14:paraId="5F2BACC9" w14:textId="77777777" w:rsidR="00067DBC" w:rsidRDefault="00067DBC" w:rsidP="00067DBC">
      <w:pPr>
        <w:pStyle w:val="ListBullet2"/>
      </w:pPr>
      <w:r>
        <w:t>Retail Products Initiative</w:t>
      </w:r>
    </w:p>
    <w:p w14:paraId="299091C8" w14:textId="77777777" w:rsidR="00067DBC" w:rsidRDefault="00067DBC" w:rsidP="00067DBC">
      <w:pPr>
        <w:pStyle w:val="ListBullet2"/>
      </w:pPr>
      <w:r>
        <w:t>Income Qualified Initiative – Single Family Offerings</w:t>
      </w:r>
    </w:p>
    <w:p w14:paraId="2A357BAD" w14:textId="77777777" w:rsidR="00067DBC" w:rsidRDefault="00067DBC" w:rsidP="00067DBC">
      <w:pPr>
        <w:pStyle w:val="ListBullet2"/>
      </w:pPr>
      <w:r>
        <w:t>Multifamily Initiatives</w:t>
      </w:r>
    </w:p>
    <w:p w14:paraId="60D66367" w14:textId="77777777" w:rsidR="00067DBC" w:rsidRDefault="00067DBC" w:rsidP="00067DBC">
      <w:pPr>
        <w:pStyle w:val="ListBullet2"/>
      </w:pPr>
      <w:r>
        <w:lastRenderedPageBreak/>
        <w:t>Market Rate Single Family Initiative</w:t>
      </w:r>
    </w:p>
    <w:p w14:paraId="1BB0522B" w14:textId="77777777" w:rsidR="00067DBC" w:rsidRDefault="00067DBC" w:rsidP="00067DBC">
      <w:pPr>
        <w:pStyle w:val="ListBullet2"/>
      </w:pPr>
      <w:r>
        <w:t>Kits Initiatives</w:t>
      </w:r>
    </w:p>
    <w:p w14:paraId="564CF6BD" w14:textId="77777777" w:rsidR="00067DBC" w:rsidRDefault="00067DBC" w:rsidP="00067DBC">
      <w:pPr>
        <w:pStyle w:val="ListBullet"/>
      </w:pPr>
      <w:r>
        <w:t xml:space="preserve">Business Program </w:t>
      </w:r>
    </w:p>
    <w:p w14:paraId="61A29690" w14:textId="77777777" w:rsidR="00067DBC" w:rsidRDefault="00067DBC" w:rsidP="00067DBC">
      <w:pPr>
        <w:pStyle w:val="ListBullet2"/>
      </w:pPr>
      <w:r>
        <w:t xml:space="preserve">Standard Initiative </w:t>
      </w:r>
    </w:p>
    <w:p w14:paraId="3576ED5A" w14:textId="77777777" w:rsidR="00067DBC" w:rsidRDefault="00067DBC" w:rsidP="00067DBC">
      <w:pPr>
        <w:pStyle w:val="ListBullet2"/>
      </w:pPr>
      <w:r>
        <w:t>Custom Initiative</w:t>
      </w:r>
    </w:p>
    <w:p w14:paraId="2E7C63C6" w14:textId="77777777" w:rsidR="00067DBC" w:rsidRDefault="00067DBC" w:rsidP="00067DBC">
      <w:pPr>
        <w:pStyle w:val="ListBullet2"/>
      </w:pPr>
      <w:r>
        <w:t>Retro-Commissioning (RCx) Initiative</w:t>
      </w:r>
    </w:p>
    <w:p w14:paraId="750C60BE" w14:textId="77777777" w:rsidR="00067DBC" w:rsidRDefault="00067DBC" w:rsidP="00067DBC">
      <w:pPr>
        <w:pStyle w:val="ListBullet2"/>
      </w:pPr>
      <w:r>
        <w:t>Streetlighting Initiative</w:t>
      </w:r>
    </w:p>
    <w:p w14:paraId="76E8539A" w14:textId="77777777" w:rsidR="00067DBC" w:rsidRDefault="00067DBC" w:rsidP="00067DBC">
      <w:pPr>
        <w:pStyle w:val="ListBullet2"/>
      </w:pPr>
      <w:r>
        <w:t>Small Business Initiative</w:t>
      </w:r>
    </w:p>
    <w:p w14:paraId="49DC4171" w14:textId="77777777" w:rsidR="00067DBC" w:rsidRDefault="00067DBC" w:rsidP="00067DBC">
      <w:pPr>
        <w:pStyle w:val="ListBullet2"/>
      </w:pPr>
      <w:r>
        <w:t>Midstream Initiative</w:t>
      </w:r>
    </w:p>
    <w:p w14:paraId="6D9FF393" w14:textId="01AE1ABA" w:rsidR="0019360C" w:rsidRDefault="0019360C" w:rsidP="0019360C">
      <w:pPr>
        <w:pStyle w:val="ListBullet2"/>
      </w:pPr>
      <w:r>
        <w:t>Luminaire-Level Lighting Control (LLLC) Market Transformation (MT) Pilot</w:t>
      </w:r>
    </w:p>
    <w:p w14:paraId="21C767B1" w14:textId="77777777" w:rsidR="00067DBC" w:rsidRDefault="00067DBC" w:rsidP="00067DBC">
      <w:pPr>
        <w:pStyle w:val="ListBullet"/>
      </w:pPr>
      <w:r>
        <w:t>Voltage Optimization Program</w:t>
      </w:r>
    </w:p>
    <w:p w14:paraId="79E1AA65" w14:textId="45F95483" w:rsidR="00067DBC" w:rsidRDefault="00067DBC" w:rsidP="00067DBC">
      <w:r>
        <w:t xml:space="preserve">Individual Residential and Business Program initiatives are further split into channels. For more details on the Residential and Business Programs, please see the </w:t>
      </w:r>
      <w:r w:rsidRPr="006720C2">
        <w:rPr>
          <w:i/>
          <w:iCs/>
        </w:rPr>
        <w:t>202</w:t>
      </w:r>
      <w:r w:rsidR="00400F10">
        <w:rPr>
          <w:i/>
          <w:iCs/>
        </w:rPr>
        <w:t>4</w:t>
      </w:r>
      <w:r w:rsidRPr="006720C2">
        <w:rPr>
          <w:i/>
          <w:iCs/>
        </w:rPr>
        <w:t xml:space="preserve"> AIC </w:t>
      </w:r>
      <w:r>
        <w:rPr>
          <w:i/>
          <w:iCs/>
        </w:rPr>
        <w:t>Residential</w:t>
      </w:r>
      <w:r w:rsidRPr="006720C2">
        <w:rPr>
          <w:i/>
          <w:iCs/>
        </w:rPr>
        <w:t xml:space="preserve"> Program Annual Impact Evaluation Report</w:t>
      </w:r>
      <w:r>
        <w:t xml:space="preserve"> and the </w:t>
      </w:r>
      <w:r w:rsidRPr="0059183A">
        <w:rPr>
          <w:i/>
          <w:iCs/>
        </w:rPr>
        <w:t>202</w:t>
      </w:r>
      <w:r w:rsidR="00400F10">
        <w:rPr>
          <w:i/>
          <w:iCs/>
        </w:rPr>
        <w:t>4</w:t>
      </w:r>
      <w:r w:rsidRPr="0059183A">
        <w:rPr>
          <w:i/>
          <w:iCs/>
        </w:rPr>
        <w:t xml:space="preserve"> AIC Business Program Annual Impact Evaluation Report</w:t>
      </w:r>
      <w:r>
        <w:t xml:space="preserve">. Note that to best serve AIC and stakeholders, we have considered the delivery strategy and unique characteristics for each AIC offering at the Initiative and channel level and have organized our evaluation activities to most effectively use evaluation resources, minimize customer touchpoints, and optimize research insights. As a result of organizational choices made in this process, evaluation reporting for the Residential Program is not organized in a way that perfectly aligns with formal portfolio organization. For further details on where this report differs in its reporting from AIC’s portfolio organization, please see the </w:t>
      </w:r>
      <w:r w:rsidRPr="006720C2">
        <w:rPr>
          <w:i/>
          <w:iCs/>
        </w:rPr>
        <w:t>202</w:t>
      </w:r>
      <w:r w:rsidR="00400F10">
        <w:rPr>
          <w:i/>
          <w:iCs/>
        </w:rPr>
        <w:t xml:space="preserve">4 </w:t>
      </w:r>
      <w:r w:rsidRPr="006720C2">
        <w:rPr>
          <w:i/>
          <w:iCs/>
        </w:rPr>
        <w:t xml:space="preserve">AIC </w:t>
      </w:r>
      <w:r>
        <w:rPr>
          <w:i/>
          <w:iCs/>
        </w:rPr>
        <w:t>Residential</w:t>
      </w:r>
      <w:r w:rsidRPr="006720C2">
        <w:rPr>
          <w:i/>
          <w:iCs/>
        </w:rPr>
        <w:t xml:space="preserve"> Program Annual Impact Evaluation Repor</w:t>
      </w:r>
      <w:r>
        <w:rPr>
          <w:i/>
          <w:iCs/>
        </w:rPr>
        <w:t>t</w:t>
      </w:r>
      <w:r>
        <w:t>.</w:t>
      </w:r>
    </w:p>
    <w:p w14:paraId="01E16C34" w14:textId="79600035" w:rsidR="00067DBC" w:rsidRDefault="00067DBC" w:rsidP="00455E81">
      <w:r>
        <w:t xml:space="preserve">AIC has a specific focus on serving </w:t>
      </w:r>
      <w:proofErr w:type="gramStart"/>
      <w:r>
        <w:t>low income</w:t>
      </w:r>
      <w:proofErr w:type="gramEnd"/>
      <w:r>
        <w:t xml:space="preserve"> customers through its residential energy efficiency programs. While the Income Qualified Initiative focuses entirely on these customers, most of AIC’s other residential efforts also direct a significant portion of their services to </w:t>
      </w:r>
      <w:proofErr w:type="gramStart"/>
      <w:r>
        <w:t>low income</w:t>
      </w:r>
      <w:proofErr w:type="gramEnd"/>
      <w:r>
        <w:t xml:space="preserve"> customers. Most notably, the majority of the savings achieved by </w:t>
      </w:r>
      <w:proofErr w:type="gramStart"/>
      <w:r>
        <w:t>Retail</w:t>
      </w:r>
      <w:proofErr w:type="gramEnd"/>
      <w:r>
        <w:t xml:space="preserve"> Products Initiative in 202</w:t>
      </w:r>
      <w:r w:rsidR="00400F10">
        <w:t>4</w:t>
      </w:r>
      <w:r>
        <w:t xml:space="preserve"> were in delivery of measures to </w:t>
      </w:r>
      <w:proofErr w:type="gramStart"/>
      <w:r>
        <w:t>low income</w:t>
      </w:r>
      <w:proofErr w:type="gramEnd"/>
      <w:r>
        <w:t xml:space="preserve"> customers. In addition, two of the three components of the Multifamily Initiatives (the Income Qualified channel of the Multifamily Initiative as well as the Public Housing Initiative) deliver services to only </w:t>
      </w:r>
      <w:proofErr w:type="gramStart"/>
      <w:r>
        <w:t>low income</w:t>
      </w:r>
      <w:proofErr w:type="gramEnd"/>
      <w:r>
        <w:t xml:space="preserve"> customers, and all channels of the Kits Initiatives are focused entirely on low income customers as well.</w:t>
      </w:r>
    </w:p>
    <w:p w14:paraId="57CD09A8" w14:textId="5DFFF84F" w:rsidR="0019360C" w:rsidRDefault="0019360C" w:rsidP="0019360C">
      <w:pPr>
        <w:pStyle w:val="Heading3"/>
      </w:pPr>
      <w:r>
        <w:lastRenderedPageBreak/>
        <w:t>2024 Portfolio Performance</w:t>
      </w:r>
    </w:p>
    <w:p w14:paraId="6AD93BA9" w14:textId="1FDD17E6" w:rsidR="0019360C" w:rsidRDefault="0019360C" w:rsidP="0019360C">
      <w:pPr>
        <w:keepNext/>
        <w:keepLines/>
      </w:pPr>
      <w:r w:rsidRPr="007F14E5">
        <w:t xml:space="preserve">Overall, the portfolio’s savings are driven heavily by a small number of initiatives. The Residential Program’s Retail Products Initiative </w:t>
      </w:r>
      <w:r>
        <w:t xml:space="preserve">(including the </w:t>
      </w:r>
      <w:r w:rsidRPr="007F14E5">
        <w:t>Income Qualified Initiative – Retail Products channel</w:t>
      </w:r>
      <w:r>
        <w:t>)</w:t>
      </w:r>
      <w:r w:rsidRPr="007F14E5">
        <w:t xml:space="preserve">, the Voltage Optimization Program, and the Business Program’s </w:t>
      </w:r>
      <w:r>
        <w:t>Standard</w:t>
      </w:r>
      <w:r w:rsidRPr="007F14E5">
        <w:t xml:space="preserve"> Initiative together provide</w:t>
      </w:r>
      <w:r>
        <w:t>d</w:t>
      </w:r>
      <w:r w:rsidRPr="007F14E5">
        <w:t xml:space="preserve"> </w:t>
      </w:r>
      <w:r>
        <w:t>more than half</w:t>
      </w:r>
      <w:r w:rsidRPr="007F14E5">
        <w:t xml:space="preserve"> (</w:t>
      </w:r>
      <w:r>
        <w:t>59</w:t>
      </w:r>
      <w:r w:rsidRPr="007F14E5">
        <w:t>%) of portfolio verified net electric energy savings</w:t>
      </w:r>
      <w:r>
        <w:t xml:space="preserve"> in 202</w:t>
      </w:r>
      <w:r>
        <w:t>4</w:t>
      </w:r>
      <w:r w:rsidRPr="007F14E5">
        <w:t xml:space="preserve">. Figure 1 shows </w:t>
      </w:r>
      <w:r>
        <w:t>202</w:t>
      </w:r>
      <w:r>
        <w:t>4</w:t>
      </w:r>
      <w:r>
        <w:t xml:space="preserve"> </w:t>
      </w:r>
      <w:r w:rsidRPr="007F14E5">
        <w:t>portfolio verified net electric energy savings by initiative.</w:t>
      </w:r>
    </w:p>
    <w:p w14:paraId="2AD2BB7B" w14:textId="795BEA83" w:rsidR="0019360C" w:rsidRDefault="0019360C" w:rsidP="0019360C">
      <w:pPr>
        <w:pStyle w:val="Caption"/>
      </w:pPr>
      <w:bookmarkStart w:id="2" w:name="_Toc165365711"/>
      <w:bookmarkStart w:id="3" w:name="_Toc165365714"/>
      <w:r>
        <w:t xml:space="preserve">Figure </w:t>
      </w:r>
      <w:r>
        <w:fldChar w:fldCharType="begin"/>
      </w:r>
      <w:r>
        <w:instrText xml:space="preserve"> SEQ Figure \* ARABIC </w:instrText>
      </w:r>
      <w:r>
        <w:fldChar w:fldCharType="separate"/>
      </w:r>
      <w:r w:rsidR="00F8548D">
        <w:rPr>
          <w:noProof/>
        </w:rPr>
        <w:t>1</w:t>
      </w:r>
      <w:r>
        <w:fldChar w:fldCharType="end"/>
      </w:r>
      <w:r>
        <w:t>. 202</w:t>
      </w:r>
      <w:r>
        <w:t>4</w:t>
      </w:r>
      <w:r>
        <w:t xml:space="preserve"> AIC Portfolio Verified Net Electric Energy Savings by Initiative</w:t>
      </w:r>
      <w:bookmarkEnd w:id="2"/>
      <w:bookmarkEnd w:id="3"/>
    </w:p>
    <w:p w14:paraId="716F258A" w14:textId="4CFC6BA5" w:rsidR="0019360C" w:rsidRDefault="0019360C" w:rsidP="0019360C">
      <w:r>
        <w:rPr>
          <w:noProof/>
        </w:rPr>
        <w:drawing>
          <wp:inline distT="0" distB="0" distL="0" distR="0" wp14:anchorId="0ABA7C73" wp14:editId="6DDAE5B3">
            <wp:extent cx="6876884" cy="2286198"/>
            <wp:effectExtent l="0" t="0" r="635" b="0"/>
            <wp:docPr id="2" name="Picture 1" descr="A pie chart with text on it&#10;&#10;AI-generated content may be incorrect.">
              <a:extLst xmlns:a="http://schemas.openxmlformats.org/drawingml/2006/main">
                <a:ext uri="{FF2B5EF4-FFF2-40B4-BE49-F238E27FC236}">
                  <a16:creationId xmlns:a16="http://schemas.microsoft.com/office/drawing/2014/main" id="{B8330567-25F8-2E5F-8DF1-E14B1B2F76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e chart with text on it&#10;&#10;AI-generated content may be incorrect.">
                      <a:extLst>
                        <a:ext uri="{FF2B5EF4-FFF2-40B4-BE49-F238E27FC236}">
                          <a16:creationId xmlns:a16="http://schemas.microsoft.com/office/drawing/2014/main" id="{B8330567-25F8-2E5F-8DF1-E14B1B2F7662}"/>
                        </a:ext>
                      </a:extLst>
                    </pic:cNvPr>
                    <pic:cNvPicPr>
                      <a:picLocks noChangeAspect="1"/>
                    </pic:cNvPicPr>
                  </pic:nvPicPr>
                  <pic:blipFill>
                    <a:blip r:embed="rId17"/>
                    <a:stretch>
                      <a:fillRect/>
                    </a:stretch>
                  </pic:blipFill>
                  <pic:spPr>
                    <a:xfrm>
                      <a:off x="0" y="0"/>
                      <a:ext cx="6876884" cy="2286198"/>
                    </a:xfrm>
                    <a:prstGeom prst="rect">
                      <a:avLst/>
                    </a:prstGeom>
                  </pic:spPr>
                </pic:pic>
              </a:graphicData>
            </a:graphic>
          </wp:inline>
        </w:drawing>
      </w:r>
    </w:p>
    <w:p w14:paraId="50000064" w14:textId="407000AB" w:rsidR="0019360C" w:rsidRDefault="0019360C" w:rsidP="0019360C">
      <w:r w:rsidRPr="007F14E5">
        <w:t xml:space="preserve">Gas savings are </w:t>
      </w:r>
      <w:r>
        <w:t>similarly concentrated</w:t>
      </w:r>
      <w:r w:rsidRPr="007F14E5">
        <w:t xml:space="preserve">. </w:t>
      </w:r>
      <w:r>
        <w:t>Three</w:t>
      </w:r>
      <w:r w:rsidRPr="007F14E5">
        <w:t xml:space="preserve"> initiatives (</w:t>
      </w:r>
      <w:r>
        <w:t xml:space="preserve">The Business Program’s </w:t>
      </w:r>
      <w:r w:rsidR="00AC3664">
        <w:t xml:space="preserve">Custom and </w:t>
      </w:r>
      <w:r w:rsidRPr="007F14E5">
        <w:t>Standard</w:t>
      </w:r>
      <w:r>
        <w:t xml:space="preserve"> Initiative</w:t>
      </w:r>
      <w:r w:rsidR="00AC3664">
        <w:t>s</w:t>
      </w:r>
      <w:r>
        <w:t xml:space="preserve"> and the Residential Program’s </w:t>
      </w:r>
      <w:r w:rsidRPr="007F14E5">
        <w:t>Retail Products</w:t>
      </w:r>
      <w:r>
        <w:t xml:space="preserve"> Initiative)</w:t>
      </w:r>
      <w:r w:rsidRPr="007F14E5">
        <w:t xml:space="preserve"> provide</w:t>
      </w:r>
      <w:r>
        <w:t xml:space="preserve">d over three-quarters </w:t>
      </w:r>
      <w:r w:rsidRPr="007F14E5">
        <w:t>of portfolio gas savings</w:t>
      </w:r>
      <w:r>
        <w:t xml:space="preserve"> in 202</w:t>
      </w:r>
      <w:r>
        <w:t>4</w:t>
      </w:r>
      <w:r w:rsidRPr="007F14E5">
        <w:t>. Figure 2 shows portfolio verified net gas savings by initiative.</w:t>
      </w:r>
    </w:p>
    <w:p w14:paraId="2B1BCD7A" w14:textId="4D8EF258" w:rsidR="0019360C" w:rsidRDefault="0019360C" w:rsidP="0019360C">
      <w:pPr>
        <w:pStyle w:val="Caption"/>
      </w:pPr>
      <w:bookmarkStart w:id="4" w:name="_Toc165365712"/>
      <w:bookmarkStart w:id="5" w:name="_Toc165365715"/>
      <w:r>
        <w:t xml:space="preserve">Figure </w:t>
      </w:r>
      <w:r>
        <w:fldChar w:fldCharType="begin"/>
      </w:r>
      <w:r>
        <w:instrText xml:space="preserve"> SEQ Figure \* ARABIC </w:instrText>
      </w:r>
      <w:r>
        <w:fldChar w:fldCharType="separate"/>
      </w:r>
      <w:r w:rsidR="00F8548D">
        <w:rPr>
          <w:noProof/>
        </w:rPr>
        <w:t>2</w:t>
      </w:r>
      <w:r>
        <w:fldChar w:fldCharType="end"/>
      </w:r>
      <w:r>
        <w:t xml:space="preserve">. </w:t>
      </w:r>
      <w:r w:rsidRPr="007F14E5">
        <w:t>202</w:t>
      </w:r>
      <w:r>
        <w:t>4</w:t>
      </w:r>
      <w:r w:rsidRPr="007F14E5">
        <w:t xml:space="preserve"> AIC Portfolio Verified Net </w:t>
      </w:r>
      <w:r>
        <w:t>Gas</w:t>
      </w:r>
      <w:r w:rsidRPr="007F14E5">
        <w:t xml:space="preserve"> Savings by Initiative</w:t>
      </w:r>
      <w:bookmarkEnd w:id="4"/>
      <w:bookmarkEnd w:id="5"/>
    </w:p>
    <w:p w14:paraId="64A6904B" w14:textId="6884DF27" w:rsidR="0019360C" w:rsidRDefault="00AC3664" w:rsidP="0019360C">
      <w:pPr>
        <w:pStyle w:val="Caption"/>
      </w:pPr>
      <w:r>
        <w:rPr>
          <w:noProof/>
        </w:rPr>
        <w:drawing>
          <wp:inline distT="0" distB="0" distL="0" distR="0" wp14:anchorId="4C71BCE0" wp14:editId="467E680E">
            <wp:extent cx="6700085" cy="2097206"/>
            <wp:effectExtent l="0" t="0" r="5715" b="0"/>
            <wp:docPr id="4" name="Picture 3" descr="A diagram of a market rate&#10;&#10;AI-generated content may be incorrect.">
              <a:extLst xmlns:a="http://schemas.openxmlformats.org/drawingml/2006/main">
                <a:ext uri="{FF2B5EF4-FFF2-40B4-BE49-F238E27FC236}">
                  <a16:creationId xmlns:a16="http://schemas.microsoft.com/office/drawing/2014/main" id="{62EEE171-4996-877A-CECF-5C89DFEE1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market rate&#10;&#10;AI-generated content may be incorrect.">
                      <a:extLst>
                        <a:ext uri="{FF2B5EF4-FFF2-40B4-BE49-F238E27FC236}">
                          <a16:creationId xmlns:a16="http://schemas.microsoft.com/office/drawing/2014/main" id="{62EEE171-4996-877A-CECF-5C89DFEE1F71}"/>
                        </a:ext>
                      </a:extLst>
                    </pic:cNvPr>
                    <pic:cNvPicPr>
                      <a:picLocks noChangeAspect="1"/>
                    </pic:cNvPicPr>
                  </pic:nvPicPr>
                  <pic:blipFill>
                    <a:blip r:embed="rId18"/>
                    <a:stretch>
                      <a:fillRect/>
                    </a:stretch>
                  </pic:blipFill>
                  <pic:spPr>
                    <a:xfrm>
                      <a:off x="0" y="0"/>
                      <a:ext cx="6700085" cy="2097206"/>
                    </a:xfrm>
                    <a:prstGeom prst="rect">
                      <a:avLst/>
                    </a:prstGeom>
                  </pic:spPr>
                </pic:pic>
              </a:graphicData>
            </a:graphic>
          </wp:inline>
        </w:drawing>
      </w:r>
    </w:p>
    <w:p w14:paraId="64FA7851" w14:textId="6E53FFD1" w:rsidR="0019360C" w:rsidRDefault="0019360C" w:rsidP="0019360C">
      <w:r>
        <w:t xml:space="preserve">As discussed above, </w:t>
      </w:r>
      <w:proofErr w:type="gramStart"/>
      <w:r>
        <w:t>the majority of</w:t>
      </w:r>
      <w:proofErr w:type="gramEnd"/>
      <w:r>
        <w:t xml:space="preserve"> AIC’s residential program offerings are focused on low-income customers. </w:t>
      </w:r>
      <w:r>
        <w:fldChar w:fldCharType="begin"/>
      </w:r>
      <w:r>
        <w:instrText xml:space="preserve"> REF _Ref161329182 \h </w:instrText>
      </w:r>
      <w:r>
        <w:fldChar w:fldCharType="separate"/>
      </w:r>
      <w:r w:rsidR="00F8548D">
        <w:t xml:space="preserve">Figure </w:t>
      </w:r>
      <w:r w:rsidR="00F8548D">
        <w:rPr>
          <w:noProof/>
        </w:rPr>
        <w:t>3</w:t>
      </w:r>
      <w:r>
        <w:fldChar w:fldCharType="end"/>
      </w:r>
      <w:r>
        <w:t xml:space="preserve"> presents a chart of AIC portfolio savings that breaks out Residential Program savings by market rate vs. low income to provide a better picture of the degree to which AIC’s portfolio delivered energy savings to low-income customers. </w:t>
      </w:r>
      <w:r>
        <w:t>Approximately one quarter</w:t>
      </w:r>
      <w:r>
        <w:t xml:space="preserve"> of AIC’s total 202</w:t>
      </w:r>
      <w:r>
        <w:t>4</w:t>
      </w:r>
      <w:r>
        <w:t xml:space="preserve"> portfolio savings are realized by low-income customers.</w:t>
      </w:r>
    </w:p>
    <w:p w14:paraId="77E6AAEA" w14:textId="76F91CB9" w:rsidR="0019360C" w:rsidRDefault="0019360C" w:rsidP="0019360C">
      <w:pPr>
        <w:pStyle w:val="Caption"/>
      </w:pPr>
      <w:bookmarkStart w:id="6" w:name="_Ref161329182"/>
      <w:bookmarkStart w:id="7" w:name="_Toc165365713"/>
      <w:bookmarkStart w:id="8" w:name="_Toc165365716"/>
      <w:r>
        <w:lastRenderedPageBreak/>
        <w:t xml:space="preserve">Figure </w:t>
      </w:r>
      <w:r>
        <w:fldChar w:fldCharType="begin"/>
      </w:r>
      <w:r>
        <w:instrText xml:space="preserve"> SEQ Figure \* ARABIC </w:instrText>
      </w:r>
      <w:r>
        <w:fldChar w:fldCharType="separate"/>
      </w:r>
      <w:r w:rsidR="00F8548D">
        <w:rPr>
          <w:noProof/>
        </w:rPr>
        <w:t>3</w:t>
      </w:r>
      <w:r>
        <w:fldChar w:fldCharType="end"/>
      </w:r>
      <w:bookmarkEnd w:id="6"/>
      <w:r>
        <w:t xml:space="preserve">. </w:t>
      </w:r>
      <w:r w:rsidRPr="007F14E5">
        <w:t>202</w:t>
      </w:r>
      <w:r>
        <w:t>4</w:t>
      </w:r>
      <w:r w:rsidRPr="007F14E5">
        <w:t xml:space="preserve"> AIC Portfolio Verified Net Savings by </w:t>
      </w:r>
      <w:r>
        <w:t>Sector</w:t>
      </w:r>
      <w:bookmarkEnd w:id="7"/>
      <w:bookmarkEnd w:id="8"/>
    </w:p>
    <w:p w14:paraId="6737DDFF" w14:textId="546B3234" w:rsidR="0019360C" w:rsidRDefault="0019360C" w:rsidP="0019360C">
      <w:pPr>
        <w:pStyle w:val="Caption"/>
      </w:pPr>
      <w:r>
        <w:rPr>
          <w:noProof/>
        </w:rPr>
        <w:drawing>
          <wp:inline distT="0" distB="0" distL="0" distR="0" wp14:anchorId="2F71DB18" wp14:editId="7B4F462D">
            <wp:extent cx="7052310" cy="2143125"/>
            <wp:effectExtent l="0" t="0" r="0" b="9525"/>
            <wp:docPr id="1862005614" name="Picture 3" descr="A comparison of a pie chart&#10;&#10;AI-generated content may be incorrect.">
              <a:extLst xmlns:a="http://schemas.openxmlformats.org/drawingml/2006/main">
                <a:ext uri="{FF2B5EF4-FFF2-40B4-BE49-F238E27FC236}">
                  <a16:creationId xmlns:a16="http://schemas.microsoft.com/office/drawing/2014/main" id="{5F6E48A8-E363-B36B-FAE2-72708C1E11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05614" name="Picture 3" descr="A comparison of a pie chart&#10;&#10;AI-generated content may be incorrect.">
                      <a:extLst>
                        <a:ext uri="{FF2B5EF4-FFF2-40B4-BE49-F238E27FC236}">
                          <a16:creationId xmlns:a16="http://schemas.microsoft.com/office/drawing/2014/main" id="{5F6E48A8-E363-B36B-FAE2-72708C1E11BD}"/>
                        </a:ext>
                      </a:extLst>
                    </pic:cNvPr>
                    <pic:cNvPicPr>
                      <a:picLocks noChangeAspect="1"/>
                    </pic:cNvPicPr>
                  </pic:nvPicPr>
                  <pic:blipFill rotWithShape="1">
                    <a:blip r:embed="rId19"/>
                    <a:srcRect t="3828" b="10054"/>
                    <a:stretch/>
                  </pic:blipFill>
                  <pic:spPr bwMode="auto">
                    <a:xfrm>
                      <a:off x="0" y="0"/>
                      <a:ext cx="7052310" cy="2143125"/>
                    </a:xfrm>
                    <a:prstGeom prst="rect">
                      <a:avLst/>
                    </a:prstGeom>
                    <a:ln>
                      <a:noFill/>
                    </a:ln>
                    <a:extLst>
                      <a:ext uri="{53640926-AAD7-44D8-BBD7-CCE9431645EC}">
                        <a14:shadowObscured xmlns:a14="http://schemas.microsoft.com/office/drawing/2010/main"/>
                      </a:ext>
                    </a:extLst>
                  </pic:spPr>
                </pic:pic>
              </a:graphicData>
            </a:graphic>
          </wp:inline>
        </w:drawing>
      </w:r>
    </w:p>
    <w:p w14:paraId="654C7DBD" w14:textId="4A2F6510" w:rsidR="0019360C" w:rsidRPr="008B7416" w:rsidRDefault="0019360C" w:rsidP="00435227">
      <w:pPr>
        <w:spacing w:before="100" w:beforeAutospacing="1"/>
      </w:pPr>
      <w:r w:rsidRPr="004A120E">
        <w:t>Note that Figure 3 understates</w:t>
      </w:r>
      <w:r>
        <w:t xml:space="preserve"> </w:t>
      </w:r>
      <w:r w:rsidRPr="004A120E">
        <w:t xml:space="preserve">the extent to which AIC’s electric programs </w:t>
      </w:r>
      <w:r>
        <w:t>delivered energy savings to low-income customers in 202</w:t>
      </w:r>
      <w:r>
        <w:t>4</w:t>
      </w:r>
      <w:r w:rsidRPr="004A120E">
        <w:t xml:space="preserve">. </w:t>
      </w:r>
      <w:r>
        <w:t xml:space="preserve">As discussed in greater depth in the </w:t>
      </w:r>
      <w:r w:rsidRPr="006720C2">
        <w:rPr>
          <w:i/>
          <w:iCs/>
        </w:rPr>
        <w:t>202</w:t>
      </w:r>
      <w:r>
        <w:rPr>
          <w:i/>
          <w:iCs/>
        </w:rPr>
        <w:t>4</w:t>
      </w:r>
      <w:r w:rsidRPr="006720C2">
        <w:rPr>
          <w:i/>
          <w:iCs/>
        </w:rPr>
        <w:t xml:space="preserve"> AIC </w:t>
      </w:r>
      <w:r>
        <w:rPr>
          <w:i/>
          <w:iCs/>
        </w:rPr>
        <w:t>Voltage Optimization</w:t>
      </w:r>
      <w:r w:rsidRPr="006720C2">
        <w:rPr>
          <w:i/>
          <w:iCs/>
        </w:rPr>
        <w:t xml:space="preserve"> Program Annual Impact Evaluation Report</w:t>
      </w:r>
      <w:r>
        <w:rPr>
          <w:i/>
          <w:iCs/>
        </w:rPr>
        <w:t xml:space="preserve">, </w:t>
      </w:r>
      <w:r>
        <w:t>AIC has prioritized low-income customers as part of its VO deployment. While our evaluation is unable to explicitly apportion savings to low-income customers from the Voltage Optimization Program, a</w:t>
      </w:r>
      <w:r w:rsidRPr="004A120E">
        <w:t xml:space="preserve">s a distribution circuit-level improvement, a share of the savings realized by the </w:t>
      </w:r>
      <w:r>
        <w:t>Program</w:t>
      </w:r>
      <w:r w:rsidRPr="004A120E">
        <w:t xml:space="preserve"> </w:t>
      </w:r>
      <w:r>
        <w:t>are</w:t>
      </w:r>
      <w:r w:rsidRPr="004A120E">
        <w:t xml:space="preserve"> realized by low</w:t>
      </w:r>
      <w:r>
        <w:t>-</w:t>
      </w:r>
      <w:r w:rsidRPr="004A120E">
        <w:t>income customers</w:t>
      </w:r>
      <w:r>
        <w:t xml:space="preserve">. </w:t>
      </w:r>
    </w:p>
    <w:p w14:paraId="6C56786D" w14:textId="0037A07F" w:rsidR="00400F10" w:rsidRDefault="00400F10" w:rsidP="00400F10">
      <w:pPr>
        <w:pStyle w:val="Heading2"/>
      </w:pPr>
      <w:bookmarkStart w:id="9" w:name="_Toc161389121"/>
      <w:bookmarkStart w:id="10" w:name="_Toc192774859"/>
      <w:r>
        <w:t>2024 Portfolio Savings</w:t>
      </w:r>
      <w:bookmarkEnd w:id="9"/>
      <w:bookmarkEnd w:id="10"/>
    </w:p>
    <w:p w14:paraId="4C56E6C2" w14:textId="7658EBD1" w:rsidR="00400F10" w:rsidRDefault="00400F10" w:rsidP="00400F10">
      <w:r w:rsidRPr="00E16857">
        <w:t>Overall, AIC’s portfolio outperformed its 202</w:t>
      </w:r>
      <w:r>
        <w:t>4</w:t>
      </w:r>
      <w:r w:rsidRPr="00E16857">
        <w:t xml:space="preserve"> goal</w:t>
      </w:r>
      <w:r>
        <w:t>s</w:t>
      </w:r>
      <w:r w:rsidRPr="00E16857">
        <w:t xml:space="preserve">. The portfolio achieved </w:t>
      </w:r>
      <w:r w:rsidR="00505364">
        <w:t>106</w:t>
      </w:r>
      <w:r w:rsidRPr="00E16857">
        <w:t xml:space="preserve">% of its AAIG and </w:t>
      </w:r>
      <w:r w:rsidR="00505364">
        <w:t>109</w:t>
      </w:r>
      <w:r w:rsidRPr="00E16857">
        <w:t xml:space="preserve">% of its CPAS target. The portfolio WAML is </w:t>
      </w:r>
      <w:r w:rsidR="00505364">
        <w:t>14.3</w:t>
      </w:r>
      <w:r w:rsidRPr="00E16857">
        <w:t xml:space="preserve"> years, which is a </w:t>
      </w:r>
      <w:r w:rsidR="00505364">
        <w:t>significant</w:t>
      </w:r>
      <w:r w:rsidRPr="00E16857">
        <w:t xml:space="preserve"> </w:t>
      </w:r>
      <w:r w:rsidR="00505364">
        <w:t>increase</w:t>
      </w:r>
      <w:r w:rsidRPr="00E16857">
        <w:t xml:space="preserve"> compared to the 202</w:t>
      </w:r>
      <w:r>
        <w:t>3</w:t>
      </w:r>
      <w:r w:rsidRPr="00E16857">
        <w:t xml:space="preserve"> portfolio, which had a WAML of 12.</w:t>
      </w:r>
      <w:r>
        <w:t>3</w:t>
      </w:r>
      <w:r w:rsidRPr="00E16857">
        <w:t xml:space="preserve"> years.</w:t>
      </w:r>
    </w:p>
    <w:p w14:paraId="3CDF6F60" w14:textId="77777777" w:rsidR="00400F10" w:rsidRDefault="00400F10" w:rsidP="00400F10">
      <w:pPr>
        <w:pStyle w:val="Heading3"/>
      </w:pPr>
      <w:r>
        <w:t>Annual Savings</w:t>
      </w:r>
    </w:p>
    <w:p w14:paraId="62C099FA" w14:textId="07995439" w:rsidR="00400F10" w:rsidRDefault="00400F10" w:rsidP="00400F10">
      <w:pPr>
        <w:keepNext/>
        <w:keepLines/>
      </w:pPr>
      <w:r w:rsidRPr="00E16857">
        <w:t>Table 1 presents annual savings achieved by the 202</w:t>
      </w:r>
      <w:r>
        <w:t xml:space="preserve">4 </w:t>
      </w:r>
      <w:r w:rsidRPr="00E16857">
        <w:t xml:space="preserve">AIC portfolio. </w:t>
      </w:r>
      <w:r>
        <w:t>Savings conversions are</w:t>
      </w:r>
      <w:r w:rsidRPr="00E16857">
        <w:t xml:space="preserve"> discussed further in Section </w:t>
      </w:r>
      <w:r>
        <w:fldChar w:fldCharType="begin"/>
      </w:r>
      <w:r>
        <w:instrText xml:space="preserve"> REF _Ref161302279 \r \h </w:instrText>
      </w:r>
      <w:r>
        <w:fldChar w:fldCharType="separate"/>
      </w:r>
      <w:r w:rsidR="00F8548D">
        <w:t>3.4</w:t>
      </w:r>
      <w:r>
        <w:fldChar w:fldCharType="end"/>
      </w:r>
      <w:r w:rsidRPr="00E16857">
        <w:t xml:space="preserve">. The calculation of residential nonparticipant spillover (NPSO) is discussed further in Section </w:t>
      </w:r>
      <w:r>
        <w:fldChar w:fldCharType="begin"/>
      </w:r>
      <w:r>
        <w:instrText xml:space="preserve"> REF _Ref161300420 \r \h </w:instrText>
      </w:r>
      <w:r>
        <w:fldChar w:fldCharType="separate"/>
      </w:r>
      <w:r w:rsidR="00F8548D">
        <w:t>2.3.2</w:t>
      </w:r>
      <w:r>
        <w:fldChar w:fldCharType="end"/>
      </w:r>
      <w:r w:rsidRPr="00E16857">
        <w:t>.</w:t>
      </w:r>
    </w:p>
    <w:p w14:paraId="11DFFF70" w14:textId="6DBCC901" w:rsidR="00400F10" w:rsidRDefault="00400F10" w:rsidP="00400F10">
      <w:pPr>
        <w:pStyle w:val="Caption"/>
        <w:keepLines/>
      </w:pPr>
      <w:bookmarkStart w:id="11" w:name="_Toc192774875"/>
      <w:r>
        <w:t xml:space="preserve">Table </w:t>
      </w:r>
      <w:r>
        <w:fldChar w:fldCharType="begin"/>
      </w:r>
      <w:r>
        <w:instrText xml:space="preserve"> SEQ Table \* ARABIC </w:instrText>
      </w:r>
      <w:r>
        <w:fldChar w:fldCharType="separate"/>
      </w:r>
      <w:r w:rsidR="00F8548D">
        <w:rPr>
          <w:noProof/>
        </w:rPr>
        <w:t>1</w:t>
      </w:r>
      <w:r>
        <w:rPr>
          <w:noProof/>
        </w:rPr>
        <w:fldChar w:fldCharType="end"/>
      </w:r>
      <w:r>
        <w:t>. 2024 AIC Portfolio Annual Savings</w:t>
      </w:r>
      <w:bookmarkEnd w:id="11"/>
    </w:p>
    <w:tbl>
      <w:tblPr>
        <w:tblStyle w:val="ODCBasic-1"/>
        <w:tblW w:w="5000" w:type="pct"/>
        <w:tblCellMar>
          <w:top w:w="0" w:type="dxa"/>
          <w:bottom w:w="14" w:type="dxa"/>
        </w:tblCellMar>
        <w:tblLook w:val="04A0" w:firstRow="1" w:lastRow="0" w:firstColumn="1" w:lastColumn="0" w:noHBand="0" w:noVBand="1"/>
      </w:tblPr>
      <w:tblGrid>
        <w:gridCol w:w="5574"/>
        <w:gridCol w:w="1891"/>
        <w:gridCol w:w="1980"/>
        <w:gridCol w:w="1651"/>
      </w:tblGrid>
      <w:tr w:rsidR="00400F10" w14:paraId="21939648"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512" w:type="pct"/>
            <w:tcBorders>
              <w:bottom w:val="single" w:sz="4" w:space="0" w:color="4A4D56" w:themeColor="text1"/>
              <w:right w:val="single" w:sz="4" w:space="0" w:color="4A4D56" w:themeColor="text1"/>
            </w:tcBorders>
          </w:tcPr>
          <w:p w14:paraId="59572994" w14:textId="77777777" w:rsidR="00400F10" w:rsidRPr="00625570" w:rsidRDefault="00400F10" w:rsidP="00400F10">
            <w:pPr>
              <w:pStyle w:val="TableHeadingLeft"/>
              <w:keepNext/>
              <w:keepLines/>
            </w:pPr>
          </w:p>
        </w:tc>
        <w:tc>
          <w:tcPr>
            <w:tcW w:w="852" w:type="pct"/>
            <w:tcBorders>
              <w:left w:val="single" w:sz="4" w:space="0" w:color="4A4D56" w:themeColor="text1"/>
              <w:bottom w:val="single" w:sz="4" w:space="0" w:color="4A4D56" w:themeColor="text1"/>
              <w:right w:val="single" w:sz="4" w:space="0" w:color="4A4D56" w:themeColor="text1"/>
            </w:tcBorders>
          </w:tcPr>
          <w:p w14:paraId="7FE2EDF3" w14:textId="77777777" w:rsidR="00400F10" w:rsidRPr="00625570" w:rsidRDefault="00400F10" w:rsidP="00400F10">
            <w:pPr>
              <w:pStyle w:val="TableHeadingCentered"/>
              <w:keepNext/>
              <w:keepLines/>
              <w:cnfStyle w:val="100000000000" w:firstRow="1" w:lastRow="0" w:firstColumn="0" w:lastColumn="0" w:oddVBand="0" w:evenVBand="0" w:oddHBand="0" w:evenHBand="0" w:firstRowFirstColumn="0" w:firstRowLastColumn="0" w:lastRowFirstColumn="0" w:lastRowLastColumn="0"/>
            </w:pPr>
            <w:r>
              <w:t>Energy Savings (MWh)</w:t>
            </w:r>
          </w:p>
        </w:tc>
        <w:tc>
          <w:tcPr>
            <w:tcW w:w="892" w:type="pct"/>
            <w:tcBorders>
              <w:left w:val="single" w:sz="4" w:space="0" w:color="4A4D56" w:themeColor="text1"/>
              <w:bottom w:val="single" w:sz="4" w:space="0" w:color="4A4D56" w:themeColor="text1"/>
              <w:right w:val="single" w:sz="4" w:space="0" w:color="4A4D56" w:themeColor="text1"/>
            </w:tcBorders>
          </w:tcPr>
          <w:p w14:paraId="3FCF85A7" w14:textId="77777777" w:rsidR="00400F10" w:rsidRPr="00625570" w:rsidRDefault="00400F10" w:rsidP="00400F10">
            <w:pPr>
              <w:pStyle w:val="TableHeadingCentered"/>
              <w:keepNext/>
              <w:keepLines/>
              <w:cnfStyle w:val="100000000000" w:firstRow="1" w:lastRow="0" w:firstColumn="0" w:lastColumn="0" w:oddVBand="0" w:evenVBand="0" w:oddHBand="0" w:evenHBand="0" w:firstRowFirstColumn="0" w:firstRowLastColumn="0" w:lastRowFirstColumn="0" w:lastRowLastColumn="0"/>
            </w:pPr>
            <w:r>
              <w:t>Peak Demand Savings (MW)</w:t>
            </w:r>
          </w:p>
        </w:tc>
        <w:tc>
          <w:tcPr>
            <w:tcW w:w="744" w:type="pct"/>
            <w:tcBorders>
              <w:left w:val="single" w:sz="4" w:space="0" w:color="4A4D56" w:themeColor="text1"/>
              <w:bottom w:val="single" w:sz="4" w:space="0" w:color="4A4D56" w:themeColor="text1"/>
              <w:right w:val="single" w:sz="4" w:space="0" w:color="4A4D56" w:themeColor="text1"/>
            </w:tcBorders>
          </w:tcPr>
          <w:p w14:paraId="1747339C" w14:textId="77777777" w:rsidR="00400F10" w:rsidRPr="00625570" w:rsidRDefault="00400F10" w:rsidP="00400F10">
            <w:pPr>
              <w:pStyle w:val="TableHeadingCentered"/>
              <w:keepNext/>
              <w:keepLines/>
              <w:cnfStyle w:val="100000000000" w:firstRow="1" w:lastRow="0" w:firstColumn="0" w:lastColumn="0" w:oddVBand="0" w:evenVBand="0" w:oddHBand="0" w:evenHBand="0" w:firstRowFirstColumn="0" w:firstRowLastColumn="0" w:lastRowFirstColumn="0" w:lastRowLastColumn="0"/>
            </w:pPr>
            <w:r>
              <w:t>Gas Savings (</w:t>
            </w:r>
            <w:proofErr w:type="spellStart"/>
            <w:r>
              <w:t>Therms</w:t>
            </w:r>
            <w:proofErr w:type="spellEnd"/>
            <w:r>
              <w:t>)</w:t>
            </w:r>
          </w:p>
        </w:tc>
      </w:tr>
      <w:tr w:rsidR="00AC0D56" w14:paraId="10CF8245"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Borders>
              <w:top w:val="single" w:sz="4" w:space="0" w:color="4A4D56" w:themeColor="text1"/>
            </w:tcBorders>
          </w:tcPr>
          <w:p w14:paraId="35F8FAE2" w14:textId="6987FD86" w:rsidR="00AC0D56" w:rsidRPr="00625570" w:rsidRDefault="00AC0D56" w:rsidP="00AC0D56">
            <w:pPr>
              <w:pStyle w:val="TableLeftText"/>
              <w:keepNext/>
              <w:keepLines/>
            </w:pPr>
            <w:r>
              <w:rPr>
                <w:rFonts w:cs="Calibri"/>
                <w:color w:val="4A4D56"/>
              </w:rPr>
              <w:t>Ex Ante Gross Savings</w:t>
            </w:r>
          </w:p>
        </w:tc>
        <w:tc>
          <w:tcPr>
            <w:tcW w:w="852" w:type="pct"/>
            <w:tcBorders>
              <w:top w:val="single" w:sz="4" w:space="0" w:color="4A4D56" w:themeColor="text1"/>
            </w:tcBorders>
          </w:tcPr>
          <w:p w14:paraId="2BBD88D1" w14:textId="0635FE8D"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414,219</w:t>
            </w:r>
          </w:p>
        </w:tc>
        <w:tc>
          <w:tcPr>
            <w:tcW w:w="892" w:type="pct"/>
            <w:tcBorders>
              <w:top w:val="single" w:sz="4" w:space="0" w:color="4A4D56" w:themeColor="text1"/>
            </w:tcBorders>
          </w:tcPr>
          <w:p w14:paraId="2136962A" w14:textId="3CA5C1C0"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58.09</w:t>
            </w:r>
          </w:p>
        </w:tc>
        <w:tc>
          <w:tcPr>
            <w:tcW w:w="744" w:type="pct"/>
            <w:tcBorders>
              <w:top w:val="single" w:sz="4" w:space="0" w:color="4A4D56" w:themeColor="text1"/>
            </w:tcBorders>
          </w:tcPr>
          <w:p w14:paraId="462B93BD" w14:textId="211C59F2"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5,977,102</w:t>
            </w:r>
          </w:p>
        </w:tc>
      </w:tr>
      <w:tr w:rsidR="00AC0D56" w14:paraId="12F9661A"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03C544EC" w14:textId="2AD7D339" w:rsidR="00AC0D56" w:rsidRPr="00625570" w:rsidRDefault="00AC0D56" w:rsidP="00AC0D56">
            <w:pPr>
              <w:pStyle w:val="TableLeftText"/>
              <w:keepNext/>
              <w:keepLines/>
            </w:pPr>
            <w:r>
              <w:rPr>
                <w:rFonts w:cs="Calibri"/>
                <w:color w:val="4A4D56"/>
              </w:rPr>
              <w:t xml:space="preserve">Gross Realization </w:t>
            </w:r>
            <w:proofErr w:type="spellStart"/>
            <w:r>
              <w:rPr>
                <w:rFonts w:cs="Calibri"/>
                <w:color w:val="4A4D56"/>
              </w:rPr>
              <w:t>Rate</w:t>
            </w:r>
            <w:r>
              <w:rPr>
                <w:rFonts w:cs="Calibri"/>
                <w:color w:val="4A4D56"/>
                <w:vertAlign w:val="superscript"/>
              </w:rPr>
              <w:t>a</w:t>
            </w:r>
            <w:proofErr w:type="spellEnd"/>
          </w:p>
        </w:tc>
        <w:tc>
          <w:tcPr>
            <w:tcW w:w="852" w:type="pct"/>
          </w:tcPr>
          <w:p w14:paraId="41F1B986" w14:textId="18E77791"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892" w:type="pct"/>
          </w:tcPr>
          <w:p w14:paraId="71670E76" w14:textId="4D0A08A2"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85%</w:t>
            </w:r>
          </w:p>
        </w:tc>
        <w:tc>
          <w:tcPr>
            <w:tcW w:w="744" w:type="pct"/>
          </w:tcPr>
          <w:p w14:paraId="19A2BB55" w14:textId="56352219"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107%</w:t>
            </w:r>
          </w:p>
        </w:tc>
      </w:tr>
      <w:tr w:rsidR="00AC0D56" w14:paraId="6F0D95D4"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04CEAC18" w14:textId="6E009146" w:rsidR="00AC0D56" w:rsidRPr="00625570" w:rsidRDefault="00AC0D56" w:rsidP="00AC0D56">
            <w:pPr>
              <w:pStyle w:val="TableLeftText"/>
              <w:keepNext/>
              <w:keepLines/>
            </w:pPr>
            <w:r>
              <w:rPr>
                <w:rFonts w:cs="Calibri"/>
                <w:color w:val="4A4D56"/>
              </w:rPr>
              <w:t>Verified Gross Savings</w:t>
            </w:r>
          </w:p>
        </w:tc>
        <w:tc>
          <w:tcPr>
            <w:tcW w:w="852" w:type="pct"/>
          </w:tcPr>
          <w:p w14:paraId="07ACD47D" w14:textId="2E8ABA0E"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427,186</w:t>
            </w:r>
          </w:p>
        </w:tc>
        <w:tc>
          <w:tcPr>
            <w:tcW w:w="892" w:type="pct"/>
          </w:tcPr>
          <w:p w14:paraId="0C6062A1" w14:textId="610DC932"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65.12</w:t>
            </w:r>
          </w:p>
        </w:tc>
        <w:tc>
          <w:tcPr>
            <w:tcW w:w="744" w:type="pct"/>
          </w:tcPr>
          <w:p w14:paraId="68B47C33" w14:textId="4F3FDAF5"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6,412,286</w:t>
            </w:r>
          </w:p>
        </w:tc>
      </w:tr>
      <w:tr w:rsidR="00AC0D56" w14:paraId="3F16D84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7739D608" w14:textId="1A0188E9" w:rsidR="00AC0D56" w:rsidRPr="00625570" w:rsidRDefault="00AC0D56" w:rsidP="00AC0D56">
            <w:pPr>
              <w:pStyle w:val="TableLeftText"/>
              <w:keepNext/>
              <w:keepLines/>
            </w:pPr>
            <w:r>
              <w:rPr>
                <w:rFonts w:cs="Calibri"/>
                <w:color w:val="4A4D56"/>
              </w:rPr>
              <w:t>NTGR</w:t>
            </w:r>
          </w:p>
        </w:tc>
        <w:tc>
          <w:tcPr>
            <w:tcW w:w="852" w:type="pct"/>
          </w:tcPr>
          <w:p w14:paraId="00D4E007" w14:textId="5A498E26"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0.926</w:t>
            </w:r>
          </w:p>
        </w:tc>
        <w:tc>
          <w:tcPr>
            <w:tcW w:w="892" w:type="pct"/>
          </w:tcPr>
          <w:p w14:paraId="01A32E69" w14:textId="56EF1388"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0.926</w:t>
            </w:r>
          </w:p>
        </w:tc>
        <w:tc>
          <w:tcPr>
            <w:tcW w:w="744" w:type="pct"/>
          </w:tcPr>
          <w:p w14:paraId="6C3818A8" w14:textId="5767DCDF"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0.854</w:t>
            </w:r>
          </w:p>
        </w:tc>
      </w:tr>
      <w:tr w:rsidR="00AC0D56" w14:paraId="68344D9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6A750FCF" w14:textId="4AC0D4B3" w:rsidR="00AC0D56" w:rsidRPr="00625570" w:rsidRDefault="00AC0D56" w:rsidP="00AC0D56">
            <w:pPr>
              <w:pStyle w:val="TableLeftText"/>
              <w:keepNext/>
              <w:keepLines/>
            </w:pPr>
            <w:r>
              <w:rPr>
                <w:rFonts w:cs="Calibri"/>
                <w:color w:val="4A4D56"/>
              </w:rPr>
              <w:t>Verified Net Savings Before Residential NPSO</w:t>
            </w:r>
          </w:p>
        </w:tc>
        <w:tc>
          <w:tcPr>
            <w:tcW w:w="852" w:type="pct"/>
          </w:tcPr>
          <w:p w14:paraId="27EC727C" w14:textId="4EE5E082"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395,644</w:t>
            </w:r>
          </w:p>
        </w:tc>
        <w:tc>
          <w:tcPr>
            <w:tcW w:w="892" w:type="pct"/>
          </w:tcPr>
          <w:p w14:paraId="34F0C34F" w14:textId="0C1AF569"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60.30</w:t>
            </w:r>
          </w:p>
        </w:tc>
        <w:tc>
          <w:tcPr>
            <w:tcW w:w="744" w:type="pct"/>
          </w:tcPr>
          <w:p w14:paraId="13817363" w14:textId="60D5EBBC"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5,475,414</w:t>
            </w:r>
          </w:p>
        </w:tc>
      </w:tr>
      <w:tr w:rsidR="00AC0D56" w14:paraId="5F7D7B2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399195A3" w14:textId="2C41705F" w:rsidR="00AC0D56" w:rsidRDefault="00AC0D56" w:rsidP="00AC0D56">
            <w:pPr>
              <w:pStyle w:val="TableLeftText"/>
              <w:keepNext/>
              <w:keepLines/>
            </w:pPr>
            <w:r>
              <w:rPr>
                <w:rFonts w:cs="Calibri"/>
                <w:color w:val="4A4D56"/>
              </w:rPr>
              <w:t>Residential NPSO Adder</w:t>
            </w:r>
          </w:p>
        </w:tc>
        <w:tc>
          <w:tcPr>
            <w:tcW w:w="852" w:type="pct"/>
          </w:tcPr>
          <w:p w14:paraId="21266AC1" w14:textId="5AED3160"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901</w:t>
            </w:r>
          </w:p>
        </w:tc>
        <w:tc>
          <w:tcPr>
            <w:tcW w:w="892" w:type="pct"/>
          </w:tcPr>
          <w:p w14:paraId="59DA2E1A" w14:textId="1276DF76"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0.17</w:t>
            </w:r>
          </w:p>
        </w:tc>
        <w:tc>
          <w:tcPr>
            <w:tcW w:w="744" w:type="pct"/>
          </w:tcPr>
          <w:p w14:paraId="222779EF" w14:textId="1C9BDC24"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56,649</w:t>
            </w:r>
          </w:p>
        </w:tc>
      </w:tr>
      <w:tr w:rsidR="00AC0D56" w14:paraId="577929BB"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6BEB2D69" w14:textId="5077EEBD" w:rsidR="00AC0D56" w:rsidRPr="00E915B8" w:rsidRDefault="00AC0D56" w:rsidP="00AC0D56">
            <w:pPr>
              <w:pStyle w:val="TableLeftText"/>
              <w:keepNext/>
              <w:keepLines/>
              <w:rPr>
                <w:vertAlign w:val="superscript"/>
              </w:rPr>
            </w:pPr>
            <w:r>
              <w:rPr>
                <w:rFonts w:cs="Calibri"/>
                <w:color w:val="4A4D56"/>
              </w:rPr>
              <w:t>(b-25) Conversions - Other Fuels</w:t>
            </w:r>
          </w:p>
        </w:tc>
        <w:tc>
          <w:tcPr>
            <w:tcW w:w="852" w:type="pct"/>
          </w:tcPr>
          <w:p w14:paraId="3839FA99" w14:textId="4DC5799A"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42,428</w:t>
            </w:r>
          </w:p>
        </w:tc>
        <w:tc>
          <w:tcPr>
            <w:tcW w:w="892" w:type="pct"/>
          </w:tcPr>
          <w:p w14:paraId="234F9753" w14:textId="6BD2E131"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744" w:type="pct"/>
          </w:tcPr>
          <w:p w14:paraId="3F6D1987" w14:textId="2C592E52" w:rsidR="00AC0D56" w:rsidRPr="000B7901" w:rsidRDefault="00AC0D56" w:rsidP="00AC0D56">
            <w:pPr>
              <w:pStyle w:val="TableCenterText"/>
              <w:keepNext/>
              <w:keepLines/>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AC0D56" w14:paraId="1C192D6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512" w:type="pct"/>
          </w:tcPr>
          <w:p w14:paraId="5E42D508" w14:textId="44730987" w:rsidR="00AC0D56" w:rsidRPr="001C6C10" w:rsidRDefault="00AC0D56" w:rsidP="00AC0D56">
            <w:pPr>
              <w:pStyle w:val="TableLeftText"/>
              <w:keepNext/>
              <w:keepLines/>
              <w:rPr>
                <w:vertAlign w:val="superscript"/>
              </w:rPr>
            </w:pPr>
            <w:r>
              <w:rPr>
                <w:rFonts w:cs="Calibri"/>
                <w:color w:val="4A4D56"/>
              </w:rPr>
              <w:t>Verified Net Savings After NPSO and (b-25) Conversions</w:t>
            </w:r>
          </w:p>
        </w:tc>
        <w:tc>
          <w:tcPr>
            <w:tcW w:w="852" w:type="pct"/>
          </w:tcPr>
          <w:p w14:paraId="44F3758A" w14:textId="283A7542"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438,973</w:t>
            </w:r>
          </w:p>
        </w:tc>
        <w:tc>
          <w:tcPr>
            <w:tcW w:w="892" w:type="pct"/>
          </w:tcPr>
          <w:p w14:paraId="4AF0FC9C" w14:textId="5A08FD83"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60.47</w:t>
            </w:r>
          </w:p>
        </w:tc>
        <w:tc>
          <w:tcPr>
            <w:tcW w:w="744" w:type="pct"/>
          </w:tcPr>
          <w:p w14:paraId="1A17BF78" w14:textId="62117E74" w:rsidR="00AC0D56" w:rsidRPr="000B7901" w:rsidRDefault="00AC0D56" w:rsidP="00AC0D56">
            <w:pPr>
              <w:pStyle w:val="TableCenterText"/>
              <w:keepNext/>
              <w:keepLines/>
              <w:cnfStyle w:val="000000010000" w:firstRow="0" w:lastRow="0" w:firstColumn="0" w:lastColumn="0" w:oddVBand="0" w:evenVBand="0" w:oddHBand="0" w:evenHBand="1" w:firstRowFirstColumn="0" w:firstRowLastColumn="0" w:lastRowFirstColumn="0" w:lastRowLastColumn="0"/>
            </w:pPr>
            <w:r>
              <w:rPr>
                <w:rFonts w:cs="Calibri"/>
                <w:color w:val="4A4D56"/>
              </w:rPr>
              <w:t>5,532,063</w:t>
            </w:r>
          </w:p>
        </w:tc>
      </w:tr>
    </w:tbl>
    <w:p w14:paraId="6F2ACE45" w14:textId="77777777" w:rsidR="00400F10" w:rsidRPr="00E16857" w:rsidRDefault="00400F10" w:rsidP="00400F10">
      <w:pPr>
        <w:spacing w:after="0"/>
        <w:rPr>
          <w:sz w:val="18"/>
          <w:szCs w:val="18"/>
        </w:rPr>
      </w:pPr>
      <w:r w:rsidRPr="00E16857">
        <w:rPr>
          <w:sz w:val="18"/>
          <w:szCs w:val="18"/>
          <w:vertAlign w:val="superscript"/>
        </w:rPr>
        <w:t>a</w:t>
      </w:r>
      <w:r w:rsidRPr="00E16857">
        <w:rPr>
          <w:sz w:val="18"/>
          <w:szCs w:val="18"/>
        </w:rPr>
        <w:t xml:space="preserve"> </w:t>
      </w:r>
      <w:r>
        <w:rPr>
          <w:sz w:val="18"/>
          <w:szCs w:val="18"/>
        </w:rPr>
        <w:t xml:space="preserve">Calculations of gross realization rate exclude categories of savings with no corresponding ex ante savings. </w:t>
      </w:r>
      <w:r w:rsidRPr="00E16857">
        <w:rPr>
          <w:sz w:val="18"/>
          <w:szCs w:val="18"/>
        </w:rPr>
        <w:t xml:space="preserve">Therefore, gross realization rates cannot be directly calculated from </w:t>
      </w:r>
      <w:proofErr w:type="gramStart"/>
      <w:r w:rsidRPr="00E16857">
        <w:rPr>
          <w:sz w:val="18"/>
          <w:szCs w:val="18"/>
        </w:rPr>
        <w:t>values</w:t>
      </w:r>
      <w:proofErr w:type="gramEnd"/>
      <w:r w:rsidRPr="00E16857">
        <w:rPr>
          <w:sz w:val="18"/>
          <w:szCs w:val="18"/>
        </w:rPr>
        <w:t xml:space="preserve"> presented in this table.</w:t>
      </w:r>
    </w:p>
    <w:p w14:paraId="58381404" w14:textId="60F5E4F9" w:rsidR="00400F10" w:rsidRPr="00E16857" w:rsidRDefault="00400F10" w:rsidP="00400F10">
      <w:pPr>
        <w:spacing w:after="0"/>
        <w:rPr>
          <w:sz w:val="18"/>
          <w:szCs w:val="18"/>
        </w:rPr>
      </w:pPr>
      <w:r w:rsidRPr="00E16857">
        <w:rPr>
          <w:sz w:val="18"/>
          <w:szCs w:val="18"/>
          <w:vertAlign w:val="superscript"/>
        </w:rPr>
        <w:t>b</w:t>
      </w:r>
      <w:r w:rsidRPr="00E16857">
        <w:rPr>
          <w:sz w:val="18"/>
          <w:szCs w:val="18"/>
        </w:rPr>
        <w:t xml:space="preserve"> AIC converted </w:t>
      </w:r>
      <w:r w:rsidR="00E915B8">
        <w:rPr>
          <w:sz w:val="18"/>
          <w:szCs w:val="18"/>
        </w:rPr>
        <w:t xml:space="preserve">only </w:t>
      </w:r>
      <w:r>
        <w:rPr>
          <w:sz w:val="18"/>
          <w:szCs w:val="18"/>
        </w:rPr>
        <w:t>natural</w:t>
      </w:r>
      <w:r w:rsidRPr="00E16857">
        <w:rPr>
          <w:sz w:val="18"/>
          <w:szCs w:val="18"/>
        </w:rPr>
        <w:t xml:space="preserve"> gas and propane savings that were not eligible to be claimed against its gas savings goals in 202</w:t>
      </w:r>
      <w:r>
        <w:rPr>
          <w:sz w:val="18"/>
          <w:szCs w:val="18"/>
        </w:rPr>
        <w:t>4</w:t>
      </w:r>
      <w:r w:rsidRPr="00E16857">
        <w:rPr>
          <w:sz w:val="18"/>
          <w:szCs w:val="18"/>
        </w:rPr>
        <w:t xml:space="preserve">. For further </w:t>
      </w:r>
      <w:proofErr w:type="gramStart"/>
      <w:r w:rsidRPr="00E16857">
        <w:rPr>
          <w:sz w:val="18"/>
          <w:szCs w:val="18"/>
        </w:rPr>
        <w:t>detail</w:t>
      </w:r>
      <w:proofErr w:type="gramEnd"/>
      <w:r w:rsidRPr="00E16857">
        <w:rPr>
          <w:sz w:val="18"/>
          <w:szCs w:val="18"/>
        </w:rPr>
        <w:t xml:space="preserve">, see </w:t>
      </w:r>
      <w:r w:rsidR="00E915B8">
        <w:rPr>
          <w:sz w:val="18"/>
          <w:szCs w:val="18"/>
        </w:rPr>
        <w:t xml:space="preserve">Section </w:t>
      </w:r>
      <w:r w:rsidR="00E915B8">
        <w:rPr>
          <w:sz w:val="18"/>
          <w:szCs w:val="18"/>
        </w:rPr>
        <w:fldChar w:fldCharType="begin"/>
      </w:r>
      <w:r w:rsidR="00E915B8">
        <w:rPr>
          <w:sz w:val="18"/>
          <w:szCs w:val="18"/>
        </w:rPr>
        <w:instrText xml:space="preserve"> REF _Ref161300479 \r \h </w:instrText>
      </w:r>
      <w:r w:rsidR="00E915B8">
        <w:rPr>
          <w:sz w:val="18"/>
          <w:szCs w:val="18"/>
        </w:rPr>
      </w:r>
      <w:r w:rsidR="00E915B8">
        <w:rPr>
          <w:sz w:val="18"/>
          <w:szCs w:val="18"/>
        </w:rPr>
        <w:fldChar w:fldCharType="separate"/>
      </w:r>
      <w:r w:rsidR="00F8548D">
        <w:rPr>
          <w:sz w:val="18"/>
          <w:szCs w:val="18"/>
        </w:rPr>
        <w:t>3.4.1</w:t>
      </w:r>
      <w:r w:rsidR="00E915B8">
        <w:rPr>
          <w:sz w:val="18"/>
          <w:szCs w:val="18"/>
        </w:rPr>
        <w:fldChar w:fldCharType="end"/>
      </w:r>
      <w:r w:rsidRPr="00E16857">
        <w:rPr>
          <w:sz w:val="18"/>
          <w:szCs w:val="18"/>
        </w:rPr>
        <w:t>.</w:t>
      </w:r>
    </w:p>
    <w:p w14:paraId="7A64CD78" w14:textId="77777777" w:rsidR="00400F10" w:rsidRDefault="00400F10" w:rsidP="00400F10">
      <w:pPr>
        <w:pStyle w:val="Heading3"/>
      </w:pPr>
      <w:r>
        <w:lastRenderedPageBreak/>
        <w:t>Applicable Annual Incremental Goal Achievement</w:t>
      </w:r>
    </w:p>
    <w:p w14:paraId="082B63A4" w14:textId="429054AA" w:rsidR="00400F10" w:rsidRDefault="00400F10" w:rsidP="00400F10">
      <w:pPr>
        <w:keepNext/>
        <w:keepLines/>
      </w:pPr>
      <w:r>
        <w:t xml:space="preserve">AIC achieved </w:t>
      </w:r>
      <w:r w:rsidR="00F5586C">
        <w:t>106</w:t>
      </w:r>
      <w:r>
        <w:t xml:space="preserve">% of its 2024 AAIG for electric savings. 2024 AAIG achievement is presented in </w:t>
      </w:r>
      <w:r>
        <w:fldChar w:fldCharType="begin"/>
      </w:r>
      <w:r>
        <w:instrText xml:space="preserve"> REF _Ref161301593 \h </w:instrText>
      </w:r>
      <w:r>
        <w:fldChar w:fldCharType="separate"/>
      </w:r>
      <w:r w:rsidR="00F8548D">
        <w:t xml:space="preserve">Table </w:t>
      </w:r>
      <w:r w:rsidR="00F8548D">
        <w:rPr>
          <w:noProof/>
        </w:rPr>
        <w:t>4</w:t>
      </w:r>
      <w:r>
        <w:fldChar w:fldCharType="end"/>
      </w:r>
      <w:r>
        <w:t>.</w:t>
      </w:r>
    </w:p>
    <w:p w14:paraId="039A458D" w14:textId="350D00D5" w:rsidR="00400F10" w:rsidRDefault="00400F10" w:rsidP="00400F10">
      <w:pPr>
        <w:pStyle w:val="Caption"/>
      </w:pPr>
      <w:bookmarkStart w:id="12" w:name="_Toc192774876"/>
      <w:r>
        <w:t xml:space="preserve">Table </w:t>
      </w:r>
      <w:r>
        <w:fldChar w:fldCharType="begin"/>
      </w:r>
      <w:r>
        <w:instrText xml:space="preserve"> SEQ Table \* ARABIC </w:instrText>
      </w:r>
      <w:r>
        <w:fldChar w:fldCharType="separate"/>
      </w:r>
      <w:r w:rsidR="00F8548D">
        <w:rPr>
          <w:noProof/>
        </w:rPr>
        <w:t>2</w:t>
      </w:r>
      <w:r>
        <w:rPr>
          <w:noProof/>
        </w:rPr>
        <w:fldChar w:fldCharType="end"/>
      </w:r>
      <w:r>
        <w:t>. 2024 AIC Portfolio AAIG Achievement</w:t>
      </w:r>
      <w:bookmarkEnd w:id="12"/>
    </w:p>
    <w:tbl>
      <w:tblPr>
        <w:tblStyle w:val="ODCBasic-1"/>
        <w:tblW w:w="0" w:type="auto"/>
        <w:tblCellMar>
          <w:top w:w="0" w:type="dxa"/>
          <w:bottom w:w="14" w:type="dxa"/>
        </w:tblCellMar>
        <w:tblLook w:val="04A0" w:firstRow="1" w:lastRow="0" w:firstColumn="1" w:lastColumn="0" w:noHBand="0" w:noVBand="1"/>
      </w:tblPr>
      <w:tblGrid>
        <w:gridCol w:w="3823"/>
        <w:gridCol w:w="898"/>
      </w:tblGrid>
      <w:tr w:rsidR="00400F10" w14:paraId="0004B628"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4A4D56" w:themeColor="text1"/>
              <w:right w:val="single" w:sz="4" w:space="0" w:color="4A4D56" w:themeColor="text1"/>
            </w:tcBorders>
          </w:tcPr>
          <w:p w14:paraId="506AE3D3" w14:textId="77777777" w:rsidR="00400F10" w:rsidRPr="00625570" w:rsidRDefault="00400F10" w:rsidP="002C7F49">
            <w:pPr>
              <w:pStyle w:val="TableHeadingLeft"/>
              <w:keepNext/>
              <w:keepLines/>
            </w:pPr>
            <w:r>
              <w:t>Metric</w:t>
            </w:r>
          </w:p>
        </w:tc>
        <w:tc>
          <w:tcPr>
            <w:tcW w:w="0" w:type="auto"/>
            <w:tcBorders>
              <w:left w:val="single" w:sz="4" w:space="0" w:color="4A4D56" w:themeColor="text1"/>
              <w:bottom w:val="single" w:sz="4" w:space="0" w:color="4A4D56" w:themeColor="text1"/>
              <w:right w:val="single" w:sz="4" w:space="0" w:color="4A4D56" w:themeColor="text1"/>
            </w:tcBorders>
          </w:tcPr>
          <w:p w14:paraId="2FB2F8EF" w14:textId="77777777" w:rsidR="00400F10" w:rsidRPr="00625570" w:rsidRDefault="00400F10"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MWh</w:t>
            </w:r>
          </w:p>
        </w:tc>
      </w:tr>
      <w:tr w:rsidR="00F5586C" w14:paraId="51AF94EB"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A4D56" w:themeColor="text1"/>
            </w:tcBorders>
          </w:tcPr>
          <w:p w14:paraId="4FCCBB07" w14:textId="69ADB1E5" w:rsidR="00F5586C" w:rsidRPr="00625570" w:rsidRDefault="00F5586C" w:rsidP="00F5586C">
            <w:pPr>
              <w:pStyle w:val="TableLeftText"/>
              <w:keepNext/>
              <w:keepLines/>
            </w:pPr>
            <w:r>
              <w:rPr>
                <w:color w:val="4A4D56"/>
              </w:rPr>
              <w:t>2024 Annual Net Savings</w:t>
            </w:r>
          </w:p>
        </w:tc>
        <w:tc>
          <w:tcPr>
            <w:tcW w:w="0" w:type="auto"/>
            <w:tcBorders>
              <w:top w:val="single" w:sz="4" w:space="0" w:color="4A4D56" w:themeColor="text1"/>
            </w:tcBorders>
          </w:tcPr>
          <w:p w14:paraId="7C2FD29C" w14:textId="478E8897" w:rsidR="00F5586C" w:rsidRPr="000B7901" w:rsidRDefault="00F5586C" w:rsidP="00F5586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color w:val="4A4D56"/>
              </w:rPr>
              <w:t>438,973</w:t>
            </w:r>
          </w:p>
        </w:tc>
      </w:tr>
      <w:tr w:rsidR="00F5586C" w14:paraId="1CD41A24"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A4D56" w:themeColor="text1"/>
            </w:tcBorders>
          </w:tcPr>
          <w:p w14:paraId="00270281" w14:textId="1C101CFF" w:rsidR="00F5586C" w:rsidRDefault="00F5586C" w:rsidP="00F5586C">
            <w:pPr>
              <w:pStyle w:val="TableLeftText"/>
              <w:keepNext/>
              <w:keepLines/>
              <w:rPr>
                <w:color w:val="4A4D56"/>
              </w:rPr>
            </w:pPr>
            <w:r>
              <w:rPr>
                <w:color w:val="4A4D56"/>
              </w:rPr>
              <w:t>2024 Expiring CPAS from Legislation</w:t>
            </w:r>
          </w:p>
        </w:tc>
        <w:tc>
          <w:tcPr>
            <w:tcW w:w="0" w:type="auto"/>
            <w:tcBorders>
              <w:top w:val="single" w:sz="4" w:space="0" w:color="4A4D56" w:themeColor="text1"/>
            </w:tcBorders>
          </w:tcPr>
          <w:p w14:paraId="7397ACFB" w14:textId="5BC971C7" w:rsidR="00F5586C" w:rsidRDefault="00F5586C" w:rsidP="00F5586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88,268</w:t>
            </w:r>
          </w:p>
        </w:tc>
      </w:tr>
      <w:tr w:rsidR="00F5586C" w14:paraId="18EF9A59"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57F0EB17" w14:textId="67552329" w:rsidR="00F5586C" w:rsidRPr="00625570" w:rsidRDefault="00F5586C" w:rsidP="00F5586C">
            <w:pPr>
              <w:pStyle w:val="TableLeftText"/>
              <w:keepNext/>
              <w:keepLines/>
            </w:pPr>
            <w:r>
              <w:rPr>
                <w:color w:val="4A4D56"/>
              </w:rPr>
              <w:t>2024 Expiring CPAS from 2023 Portfolio</w:t>
            </w:r>
          </w:p>
        </w:tc>
        <w:tc>
          <w:tcPr>
            <w:tcW w:w="0" w:type="auto"/>
          </w:tcPr>
          <w:p w14:paraId="5077A486" w14:textId="5EE562C6" w:rsidR="00F5586C" w:rsidRPr="000B7901" w:rsidRDefault="00F5586C" w:rsidP="00F5586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color w:val="4A4D56"/>
              </w:rPr>
              <w:t>0</w:t>
            </w:r>
          </w:p>
        </w:tc>
      </w:tr>
      <w:tr w:rsidR="00F5586C" w14:paraId="593D50AD"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3B0110DD" w14:textId="4615F47A" w:rsidR="00F5586C" w:rsidRPr="00625570" w:rsidRDefault="00F5586C" w:rsidP="00F5586C">
            <w:pPr>
              <w:pStyle w:val="TableLeftText"/>
              <w:keepNext/>
              <w:keepLines/>
            </w:pPr>
            <w:r>
              <w:rPr>
                <w:color w:val="4A4D56"/>
              </w:rPr>
              <w:t>2024 Expiring CPAS from 2022 Portfolio</w:t>
            </w:r>
          </w:p>
        </w:tc>
        <w:tc>
          <w:tcPr>
            <w:tcW w:w="0" w:type="auto"/>
          </w:tcPr>
          <w:p w14:paraId="32F0C188" w14:textId="5AA13DA7" w:rsidR="00F5586C" w:rsidRPr="000B7901" w:rsidRDefault="00F5586C" w:rsidP="00F5586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color w:val="4A4D56"/>
              </w:rPr>
              <w:t>721</w:t>
            </w:r>
          </w:p>
        </w:tc>
      </w:tr>
      <w:tr w:rsidR="00F5586C" w14:paraId="64228859"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204CE79F" w14:textId="51875B10" w:rsidR="00F5586C" w:rsidRDefault="00F5586C" w:rsidP="00F5586C">
            <w:pPr>
              <w:pStyle w:val="TableLeftText"/>
              <w:keepNext/>
              <w:keepLines/>
            </w:pPr>
            <w:r>
              <w:rPr>
                <w:color w:val="4A4D56"/>
              </w:rPr>
              <w:t>2024 Expiring CPAS from 2021 Portfolio</w:t>
            </w:r>
          </w:p>
        </w:tc>
        <w:tc>
          <w:tcPr>
            <w:tcW w:w="0" w:type="auto"/>
          </w:tcPr>
          <w:p w14:paraId="415E9262" w14:textId="0C0E90DB" w:rsidR="00F5586C" w:rsidRPr="000B7901" w:rsidRDefault="00F5586C" w:rsidP="00F5586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color w:val="4A4D56"/>
              </w:rPr>
              <w:t>4,758</w:t>
            </w:r>
          </w:p>
        </w:tc>
      </w:tr>
      <w:tr w:rsidR="00F5586C" w14:paraId="380F06CC"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1BD5BADE" w14:textId="66EEAB17" w:rsidR="00F5586C" w:rsidRDefault="00F5586C" w:rsidP="00F5586C">
            <w:pPr>
              <w:pStyle w:val="TableLeftText"/>
              <w:keepNext/>
              <w:keepLines/>
            </w:pPr>
            <w:r>
              <w:rPr>
                <w:color w:val="4A4D56"/>
              </w:rPr>
              <w:t>2024 Expiring CPAS from 2020 Portfolio</w:t>
            </w:r>
          </w:p>
        </w:tc>
        <w:tc>
          <w:tcPr>
            <w:tcW w:w="0" w:type="auto"/>
          </w:tcPr>
          <w:p w14:paraId="716E85C7" w14:textId="79F60047" w:rsidR="00F5586C" w:rsidRPr="000B7901" w:rsidRDefault="00F5586C" w:rsidP="00F5586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color w:val="4A4D56"/>
              </w:rPr>
              <w:t>24,755</w:t>
            </w:r>
          </w:p>
        </w:tc>
      </w:tr>
      <w:tr w:rsidR="00F5586C" w14:paraId="08B5276D"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3384A257" w14:textId="5138EC63" w:rsidR="00F5586C" w:rsidRDefault="00F5586C" w:rsidP="00F5586C">
            <w:pPr>
              <w:pStyle w:val="TableLeftText"/>
              <w:keepNext/>
              <w:keepLines/>
            </w:pPr>
            <w:r>
              <w:rPr>
                <w:color w:val="4A4D56"/>
              </w:rPr>
              <w:t>2024 Expiring CPAS from 2019 Portfolio</w:t>
            </w:r>
          </w:p>
        </w:tc>
        <w:tc>
          <w:tcPr>
            <w:tcW w:w="0" w:type="auto"/>
          </w:tcPr>
          <w:p w14:paraId="0254C278" w14:textId="7351EAC7" w:rsidR="00F5586C" w:rsidRPr="000B7901" w:rsidRDefault="00F5586C" w:rsidP="00F5586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color w:val="4A4D56"/>
              </w:rPr>
              <w:t>30,820</w:t>
            </w:r>
          </w:p>
        </w:tc>
      </w:tr>
      <w:tr w:rsidR="00F5586C" w14:paraId="768650CF"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28B62C0F" w14:textId="6CF04048" w:rsidR="00F5586C" w:rsidRPr="00625570" w:rsidRDefault="00F5586C" w:rsidP="00F5586C">
            <w:pPr>
              <w:pStyle w:val="TableLeftText"/>
              <w:keepNext/>
              <w:keepLines/>
            </w:pPr>
            <w:r>
              <w:rPr>
                <w:color w:val="4A4D56"/>
              </w:rPr>
              <w:t>2024 Expiring CPAS from 2018 Portfolio</w:t>
            </w:r>
          </w:p>
        </w:tc>
        <w:tc>
          <w:tcPr>
            <w:tcW w:w="0" w:type="auto"/>
          </w:tcPr>
          <w:p w14:paraId="6FC51367" w14:textId="2124AE0A" w:rsidR="00F5586C" w:rsidRPr="000B7901" w:rsidRDefault="00F5586C" w:rsidP="00F5586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color w:val="4A4D56"/>
              </w:rPr>
              <w:t>9,738</w:t>
            </w:r>
          </w:p>
        </w:tc>
      </w:tr>
      <w:tr w:rsidR="00F5586C" w14:paraId="6B11F1CE"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19D71D7F" w14:textId="776744D5" w:rsidR="00F5586C" w:rsidRPr="00625570" w:rsidRDefault="00F5586C" w:rsidP="00F5586C">
            <w:pPr>
              <w:pStyle w:val="TableLeftText"/>
              <w:keepNext/>
              <w:keepLines/>
            </w:pPr>
            <w:r>
              <w:rPr>
                <w:color w:val="4A4D56"/>
              </w:rPr>
              <w:t>2024 Annual Incremental Savings Achieved</w:t>
            </w:r>
          </w:p>
        </w:tc>
        <w:tc>
          <w:tcPr>
            <w:tcW w:w="0" w:type="auto"/>
          </w:tcPr>
          <w:p w14:paraId="6C935432" w14:textId="4FC89278" w:rsidR="00F5586C" w:rsidRPr="000B7901" w:rsidRDefault="00F5586C" w:rsidP="00F5586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color w:val="4A4D56"/>
              </w:rPr>
              <w:t>279,913</w:t>
            </w:r>
          </w:p>
        </w:tc>
      </w:tr>
      <w:tr w:rsidR="00F5586C" w14:paraId="5E892E46"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2A765E8E" w14:textId="2F3376FF" w:rsidR="00F5586C" w:rsidRPr="00625570" w:rsidRDefault="00F5586C" w:rsidP="00F5586C">
            <w:pPr>
              <w:pStyle w:val="TableLeftText"/>
              <w:keepNext/>
              <w:keepLines/>
            </w:pPr>
            <w:r>
              <w:rPr>
                <w:color w:val="4A4D56"/>
              </w:rPr>
              <w:t>2024 AAIG</w:t>
            </w:r>
          </w:p>
        </w:tc>
        <w:tc>
          <w:tcPr>
            <w:tcW w:w="0" w:type="auto"/>
          </w:tcPr>
          <w:p w14:paraId="1A1624A9" w14:textId="288050C5" w:rsidR="00F5586C" w:rsidRPr="000B7901" w:rsidRDefault="00F5586C" w:rsidP="00F5586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color w:val="4A4D56"/>
              </w:rPr>
              <w:t>265,224</w:t>
            </w:r>
          </w:p>
        </w:tc>
      </w:tr>
      <w:tr w:rsidR="00F5586C" w14:paraId="3BDB1E79"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4FC12D30" w14:textId="794D52C3" w:rsidR="00F5586C" w:rsidRPr="009C263B" w:rsidRDefault="00F5586C" w:rsidP="00F5586C">
            <w:pPr>
              <w:pStyle w:val="TableTextLeftMedium"/>
            </w:pPr>
            <w:r>
              <w:rPr>
                <w:color w:val="4A4D56"/>
                <w:szCs w:val="20"/>
              </w:rPr>
              <w:t>% of 2024 AAIG Achieved</w:t>
            </w:r>
          </w:p>
        </w:tc>
        <w:tc>
          <w:tcPr>
            <w:tcW w:w="0" w:type="auto"/>
          </w:tcPr>
          <w:p w14:paraId="40EF6AA5" w14:textId="4028C296" w:rsidR="00F5586C" w:rsidRPr="009C263B"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106%</w:t>
            </w:r>
          </w:p>
        </w:tc>
      </w:tr>
    </w:tbl>
    <w:p w14:paraId="602CDC53" w14:textId="77777777" w:rsidR="00400F10" w:rsidRDefault="00400F10" w:rsidP="00400F10">
      <w:pPr>
        <w:pStyle w:val="Heading3"/>
      </w:pPr>
      <w:r>
        <w:t>Cumulative Persisting Annual Savings</w:t>
      </w:r>
    </w:p>
    <w:p w14:paraId="340D4A39" w14:textId="1BFDA5EB" w:rsidR="00400F10" w:rsidRPr="003901D1" w:rsidRDefault="00400F10" w:rsidP="00400F10">
      <w:pPr>
        <w:keepNext/>
        <w:keepLines/>
      </w:pPr>
      <w:r>
        <w:fldChar w:fldCharType="begin"/>
      </w:r>
      <w:r>
        <w:instrText xml:space="preserve"> REF _Ref137642695 \h </w:instrText>
      </w:r>
      <w:r>
        <w:fldChar w:fldCharType="separate"/>
      </w:r>
      <w:r w:rsidR="00F8548D">
        <w:t xml:space="preserve">Table </w:t>
      </w:r>
      <w:r w:rsidR="00F8548D">
        <w:rPr>
          <w:noProof/>
        </w:rPr>
        <w:t>3</w:t>
      </w:r>
      <w:r>
        <w:fldChar w:fldCharType="end"/>
      </w:r>
      <w:r>
        <w:t xml:space="preserve"> summarizes overall CPAS and WAML for the 202</w:t>
      </w:r>
      <w:r w:rsidR="00435227">
        <w:t>4</w:t>
      </w:r>
      <w:r>
        <w:t xml:space="preserve"> AIC portfolio by </w:t>
      </w:r>
      <w:r w:rsidR="00435227">
        <w:t xml:space="preserve">program, including (b-25) conversions (explained in more detail in Section </w:t>
      </w:r>
      <w:r w:rsidR="00435227">
        <w:fldChar w:fldCharType="begin"/>
      </w:r>
      <w:r w:rsidR="00435227">
        <w:instrText xml:space="preserve"> REF _Ref161300479 \r \h </w:instrText>
      </w:r>
      <w:r w:rsidR="00435227">
        <w:fldChar w:fldCharType="separate"/>
      </w:r>
      <w:r w:rsidR="00F8548D">
        <w:t>3.4.1</w:t>
      </w:r>
      <w:r w:rsidR="00435227">
        <w:fldChar w:fldCharType="end"/>
      </w:r>
      <w:r w:rsidR="00435227">
        <w:t>).</w:t>
      </w:r>
      <w:r>
        <w:t xml:space="preserve"> The overall WAML for the portfolio is </w:t>
      </w:r>
      <w:r w:rsidR="00F5586C">
        <w:t>14.4</w:t>
      </w:r>
      <w:r>
        <w:t xml:space="preserve"> years including Voltage Optimization and </w:t>
      </w:r>
      <w:r w:rsidR="00F5586C">
        <w:t>14.3</w:t>
      </w:r>
      <w:r>
        <w:t xml:space="preserve"> years excluding Voltage Optimization. Additional detail on CPAS achieved by the portfolio is available in</w:t>
      </w:r>
      <w:r w:rsidR="00657D8A">
        <w:t xml:space="preserve"> </w:t>
      </w:r>
      <w:r w:rsidR="00657D8A">
        <w:fldChar w:fldCharType="begin"/>
      </w:r>
      <w:r w:rsidR="00657D8A">
        <w:instrText xml:space="preserve"> REF _Ref191841997 \r \h </w:instrText>
      </w:r>
      <w:r w:rsidR="00657D8A">
        <w:fldChar w:fldCharType="separate"/>
      </w:r>
      <w:r w:rsidR="00F8548D">
        <w:t>Appendix C</w:t>
      </w:r>
      <w:r w:rsidR="00657D8A">
        <w:fldChar w:fldCharType="end"/>
      </w:r>
      <w:r>
        <w:t>.</w:t>
      </w:r>
    </w:p>
    <w:p w14:paraId="7CE54006" w14:textId="1DB74E6A" w:rsidR="00400F10" w:rsidRDefault="00400F10" w:rsidP="00400F10">
      <w:pPr>
        <w:keepNext/>
        <w:keepLines/>
        <w:jc w:val="center"/>
      </w:pPr>
      <w:bookmarkStart w:id="13" w:name="_Ref137642695"/>
      <w:bookmarkStart w:id="14" w:name="_Toc156240734"/>
      <w:bookmarkStart w:id="15" w:name="_Toc161260990"/>
      <w:bookmarkStart w:id="16" w:name="_Toc192774877"/>
      <w:r>
        <w:t xml:space="preserve">Table </w:t>
      </w:r>
      <w:r>
        <w:fldChar w:fldCharType="begin"/>
      </w:r>
      <w:r>
        <w:instrText xml:space="preserve"> SEQ Table \* ARABIC </w:instrText>
      </w:r>
      <w:r>
        <w:fldChar w:fldCharType="separate"/>
      </w:r>
      <w:r w:rsidR="00F8548D">
        <w:rPr>
          <w:noProof/>
        </w:rPr>
        <w:t>3</w:t>
      </w:r>
      <w:r>
        <w:rPr>
          <w:noProof/>
        </w:rPr>
        <w:fldChar w:fldCharType="end"/>
      </w:r>
      <w:bookmarkEnd w:id="13"/>
      <w:r>
        <w:t>.</w:t>
      </w:r>
      <w:r w:rsidRPr="006A5396">
        <w:t xml:space="preserve"> </w:t>
      </w:r>
      <w:r w:rsidRPr="00B63B6D">
        <w:t>202</w:t>
      </w:r>
      <w:r>
        <w:t>4</w:t>
      </w:r>
      <w:r w:rsidRPr="00B63B6D">
        <w:t xml:space="preserve"> </w:t>
      </w:r>
      <w:r>
        <w:t>AIC Portfolio</w:t>
      </w:r>
      <w:r w:rsidRPr="00B63B6D">
        <w:t xml:space="preserve"> CPAS and WAML</w:t>
      </w:r>
      <w:bookmarkEnd w:id="14"/>
      <w:bookmarkEnd w:id="15"/>
      <w:bookmarkEnd w:id="16"/>
    </w:p>
    <w:tbl>
      <w:tblPr>
        <w:tblStyle w:val="ODCBasic-1"/>
        <w:tblW w:w="5000" w:type="pct"/>
        <w:tblCellMar>
          <w:top w:w="0" w:type="dxa"/>
        </w:tblCellMar>
        <w:tblLook w:val="04A0" w:firstRow="1" w:lastRow="0" w:firstColumn="1" w:lastColumn="0" w:noHBand="0" w:noVBand="1"/>
      </w:tblPr>
      <w:tblGrid>
        <w:gridCol w:w="1883"/>
        <w:gridCol w:w="720"/>
        <w:gridCol w:w="1671"/>
        <w:gridCol w:w="664"/>
        <w:gridCol w:w="881"/>
        <w:gridCol w:w="18"/>
        <w:gridCol w:w="899"/>
        <w:gridCol w:w="36"/>
        <w:gridCol w:w="863"/>
        <w:gridCol w:w="16"/>
        <w:gridCol w:w="883"/>
        <w:gridCol w:w="294"/>
        <w:gridCol w:w="899"/>
        <w:gridCol w:w="304"/>
        <w:gridCol w:w="1065"/>
      </w:tblGrid>
      <w:tr w:rsidR="004A1091" w14:paraId="461AD7BC" w14:textId="77777777" w:rsidTr="00435227">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849" w:type="pct"/>
            <w:vMerge w:val="restart"/>
            <w:tcBorders>
              <w:bottom w:val="single" w:sz="4" w:space="0" w:color="4A4D56" w:themeColor="text1"/>
              <w:right w:val="single" w:sz="4" w:space="0" w:color="4A4D56" w:themeColor="text1"/>
            </w:tcBorders>
          </w:tcPr>
          <w:p w14:paraId="01D625C9" w14:textId="77777777" w:rsidR="00400F10" w:rsidRPr="00625570" w:rsidRDefault="00400F10" w:rsidP="002C7F49">
            <w:pPr>
              <w:pStyle w:val="TableHeadingLeft"/>
            </w:pPr>
            <w:r>
              <w:t>Program</w:t>
            </w:r>
          </w:p>
        </w:tc>
        <w:tc>
          <w:tcPr>
            <w:tcW w:w="325" w:type="pct"/>
            <w:vMerge w:val="restart"/>
            <w:tcBorders>
              <w:left w:val="single" w:sz="4" w:space="0" w:color="4A4D56" w:themeColor="text1"/>
              <w:right w:val="single" w:sz="4" w:space="0" w:color="4A4D56" w:themeColor="text1"/>
            </w:tcBorders>
          </w:tcPr>
          <w:p w14:paraId="0F745063" w14:textId="77777777" w:rsidR="00400F10" w:rsidRPr="00625570" w:rsidRDefault="00400F10" w:rsidP="002C7F49">
            <w:pPr>
              <w:pStyle w:val="TableHeadingCentered"/>
              <w:cnfStyle w:val="100000000000" w:firstRow="1" w:lastRow="0" w:firstColumn="0" w:lastColumn="0" w:oddVBand="0" w:evenVBand="0" w:oddHBand="0" w:evenHBand="0" w:firstRowFirstColumn="0" w:firstRowLastColumn="0" w:lastRowFirstColumn="0" w:lastRowLastColumn="0"/>
            </w:pPr>
            <w:r>
              <w:t>WAML</w:t>
            </w:r>
          </w:p>
        </w:tc>
        <w:tc>
          <w:tcPr>
            <w:tcW w:w="753" w:type="pct"/>
            <w:vMerge w:val="restart"/>
            <w:tcBorders>
              <w:left w:val="single" w:sz="4" w:space="0" w:color="4A4D56" w:themeColor="text1"/>
              <w:right w:val="single" w:sz="4" w:space="0" w:color="4A4D56" w:themeColor="text1"/>
            </w:tcBorders>
          </w:tcPr>
          <w:p w14:paraId="7C3C9A90" w14:textId="77777777" w:rsidR="00400F10" w:rsidRPr="00625570" w:rsidRDefault="00400F10" w:rsidP="002C7F49">
            <w:pPr>
              <w:pStyle w:val="TableHeadingCentered"/>
              <w:cnfStyle w:val="100000000000" w:firstRow="1" w:lastRow="0" w:firstColumn="0" w:lastColumn="0" w:oddVBand="0" w:evenVBand="0" w:oddHBand="0" w:evenHBand="0" w:firstRowFirstColumn="0" w:firstRowLastColumn="0" w:lastRowFirstColumn="0" w:lastRowLastColumn="0"/>
            </w:pPr>
            <w:r>
              <w:t>Annual Verified Gross Savings (MWh)</w:t>
            </w:r>
          </w:p>
        </w:tc>
        <w:tc>
          <w:tcPr>
            <w:tcW w:w="299" w:type="pct"/>
            <w:vMerge w:val="restart"/>
            <w:tcBorders>
              <w:left w:val="single" w:sz="4" w:space="0" w:color="4A4D56" w:themeColor="text1"/>
              <w:right w:val="single" w:sz="4" w:space="0" w:color="4A4D56" w:themeColor="text1"/>
            </w:tcBorders>
          </w:tcPr>
          <w:p w14:paraId="3C028AC9" w14:textId="77777777" w:rsidR="00400F10" w:rsidRPr="00625570" w:rsidRDefault="00400F10" w:rsidP="002C7F49">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2294" w:type="pct"/>
            <w:gridSpan w:val="10"/>
            <w:tcBorders>
              <w:left w:val="single" w:sz="4" w:space="0" w:color="4A4D56" w:themeColor="text1"/>
              <w:bottom w:val="single" w:sz="4" w:space="0" w:color="4A4D56" w:themeColor="text1"/>
              <w:right w:val="single" w:sz="4" w:space="0" w:color="4A4D56" w:themeColor="text1"/>
            </w:tcBorders>
          </w:tcPr>
          <w:p w14:paraId="48932041" w14:textId="77777777" w:rsidR="00400F10" w:rsidRDefault="00400F10" w:rsidP="002C7F49">
            <w:pPr>
              <w:pStyle w:val="TableHeadingCentered"/>
              <w:cnfStyle w:val="100000000000" w:firstRow="1" w:lastRow="0" w:firstColumn="0" w:lastColumn="0" w:oddVBand="0" w:evenVBand="0" w:oddHBand="0" w:evenHBand="0" w:firstRowFirstColumn="0" w:firstRowLastColumn="0" w:lastRowFirstColumn="0" w:lastRowLastColumn="0"/>
            </w:pPr>
            <w:r>
              <w:t>CPAS – Verified Net Savings (MWh)</w:t>
            </w:r>
          </w:p>
        </w:tc>
        <w:tc>
          <w:tcPr>
            <w:tcW w:w="480" w:type="pct"/>
            <w:vMerge w:val="restart"/>
            <w:tcBorders>
              <w:left w:val="single" w:sz="4" w:space="0" w:color="4A4D56" w:themeColor="text1"/>
            </w:tcBorders>
          </w:tcPr>
          <w:p w14:paraId="4F493248" w14:textId="77777777" w:rsidR="00400F10" w:rsidRPr="00625570" w:rsidRDefault="00400F10" w:rsidP="002C7F49">
            <w:pPr>
              <w:pStyle w:val="TableHeadingCentered"/>
              <w:cnfStyle w:val="100000000000" w:firstRow="1" w:lastRow="0" w:firstColumn="0" w:lastColumn="0" w:oddVBand="0" w:evenVBand="0" w:oddHBand="0" w:evenHBand="0" w:firstRowFirstColumn="0" w:firstRowLastColumn="0" w:lastRowFirstColumn="0" w:lastRowLastColumn="0"/>
            </w:pPr>
            <w:r>
              <w:t>Lifetime Savings (MWh)</w:t>
            </w:r>
          </w:p>
        </w:tc>
      </w:tr>
      <w:tr w:rsidR="00435227" w14:paraId="0AD8A8B4" w14:textId="77777777" w:rsidTr="00435227">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849" w:type="pct"/>
            <w:vMerge/>
            <w:tcBorders>
              <w:top w:val="single" w:sz="4" w:space="0" w:color="4A4D56" w:themeColor="text1"/>
              <w:right w:val="single" w:sz="4" w:space="0" w:color="4A4D56" w:themeColor="text1"/>
            </w:tcBorders>
          </w:tcPr>
          <w:p w14:paraId="0ED33080" w14:textId="77777777" w:rsidR="00F5586C" w:rsidRPr="00625570" w:rsidRDefault="00F5586C" w:rsidP="00F5586C">
            <w:pPr>
              <w:pStyle w:val="ODTable"/>
              <w:suppressAutoHyphens/>
              <w:ind w:left="72"/>
              <w:jc w:val="center"/>
              <w:rPr>
                <w:sz w:val="18"/>
                <w:szCs w:val="18"/>
              </w:rPr>
            </w:pPr>
          </w:p>
        </w:tc>
        <w:tc>
          <w:tcPr>
            <w:tcW w:w="325" w:type="pct"/>
            <w:vMerge/>
            <w:tcBorders>
              <w:left w:val="single" w:sz="4" w:space="0" w:color="4A4D56" w:themeColor="text1"/>
              <w:right w:val="single" w:sz="4" w:space="0" w:color="4A4D56" w:themeColor="text1"/>
            </w:tcBorders>
            <w:shd w:val="clear" w:color="auto" w:fill="053572" w:themeFill="text2"/>
          </w:tcPr>
          <w:p w14:paraId="56F852E0" w14:textId="77777777"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rPr>
                <w:rFonts w:cs="Calibri"/>
              </w:rPr>
            </w:pPr>
          </w:p>
        </w:tc>
        <w:tc>
          <w:tcPr>
            <w:tcW w:w="753" w:type="pct"/>
            <w:vMerge/>
            <w:tcBorders>
              <w:left w:val="single" w:sz="4" w:space="0" w:color="4A4D56" w:themeColor="text1"/>
              <w:right w:val="single" w:sz="4" w:space="0" w:color="4A4D56" w:themeColor="text1"/>
            </w:tcBorders>
            <w:shd w:val="clear" w:color="auto" w:fill="053572" w:themeFill="text2"/>
          </w:tcPr>
          <w:p w14:paraId="0F9033F2" w14:textId="77777777"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p>
        </w:tc>
        <w:tc>
          <w:tcPr>
            <w:tcW w:w="299" w:type="pct"/>
            <w:vMerge/>
            <w:tcBorders>
              <w:left w:val="single" w:sz="4" w:space="0" w:color="4A4D56" w:themeColor="text1"/>
              <w:right w:val="single" w:sz="4" w:space="0" w:color="4A4D56" w:themeColor="text1"/>
            </w:tcBorders>
            <w:shd w:val="clear" w:color="auto" w:fill="053572" w:themeFill="text2"/>
          </w:tcPr>
          <w:p w14:paraId="2A2572DA" w14:textId="77777777"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p>
        </w:tc>
        <w:tc>
          <w:tcPr>
            <w:tcW w:w="405" w:type="pct"/>
            <w:gridSpan w:val="2"/>
            <w:tcBorders>
              <w:top w:val="single" w:sz="4" w:space="0" w:color="4A4D56" w:themeColor="text1"/>
              <w:left w:val="single" w:sz="4" w:space="0" w:color="4A4D56" w:themeColor="text1"/>
              <w:right w:val="single" w:sz="4" w:space="0" w:color="4A4D56" w:themeColor="text1"/>
            </w:tcBorders>
            <w:shd w:val="clear" w:color="auto" w:fill="053572" w:themeFill="text2"/>
          </w:tcPr>
          <w:p w14:paraId="79B3E7EA" w14:textId="559E0F83"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rPr>
                <w:color w:val="FFFFFF"/>
              </w:rPr>
              <w:t>2024</w:t>
            </w:r>
          </w:p>
        </w:tc>
        <w:tc>
          <w:tcPr>
            <w:tcW w:w="405" w:type="pct"/>
            <w:tcBorders>
              <w:top w:val="single" w:sz="4" w:space="0" w:color="4A4D56" w:themeColor="text1"/>
              <w:left w:val="single" w:sz="4" w:space="0" w:color="4A4D56" w:themeColor="text1"/>
              <w:right w:val="single" w:sz="4" w:space="0" w:color="4A4D56" w:themeColor="text1"/>
            </w:tcBorders>
            <w:shd w:val="clear" w:color="auto" w:fill="053572" w:themeFill="text2"/>
          </w:tcPr>
          <w:p w14:paraId="05D4EA3B" w14:textId="649D9504" w:rsidR="00F5586C"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rPr>
                <w:color w:val="FFFFFF"/>
              </w:rPr>
              <w:t>2025</w:t>
            </w:r>
          </w:p>
        </w:tc>
        <w:tc>
          <w:tcPr>
            <w:tcW w:w="405" w:type="pct"/>
            <w:gridSpan w:val="2"/>
            <w:tcBorders>
              <w:top w:val="single" w:sz="4" w:space="0" w:color="4A4D56" w:themeColor="text1"/>
              <w:left w:val="single" w:sz="4" w:space="0" w:color="4A4D56" w:themeColor="text1"/>
              <w:right w:val="single" w:sz="4" w:space="0" w:color="4A4D56" w:themeColor="text1"/>
            </w:tcBorders>
            <w:shd w:val="clear" w:color="auto" w:fill="053572" w:themeFill="text2"/>
          </w:tcPr>
          <w:p w14:paraId="542A9467" w14:textId="74AA3AA9" w:rsidR="00F5586C"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rPr>
                <w:color w:val="FFFFFF"/>
              </w:rPr>
              <w:t>2026</w:t>
            </w:r>
          </w:p>
        </w:tc>
        <w:tc>
          <w:tcPr>
            <w:tcW w:w="405" w:type="pct"/>
            <w:gridSpan w:val="2"/>
            <w:tcBorders>
              <w:top w:val="single" w:sz="4" w:space="0" w:color="4A4D56" w:themeColor="text1"/>
              <w:left w:val="single" w:sz="4" w:space="0" w:color="4A4D56" w:themeColor="text1"/>
              <w:right w:val="single" w:sz="4" w:space="0" w:color="4A4D56" w:themeColor="text1"/>
            </w:tcBorders>
            <w:shd w:val="clear" w:color="auto" w:fill="053572" w:themeFill="text2"/>
          </w:tcPr>
          <w:p w14:paraId="008C0B63" w14:textId="309A0145" w:rsidR="00F5586C"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rPr>
                <w:color w:val="FFFFFF"/>
              </w:rPr>
              <w:t>2027</w:t>
            </w:r>
          </w:p>
        </w:tc>
        <w:tc>
          <w:tcPr>
            <w:tcW w:w="132" w:type="pct"/>
            <w:tcBorders>
              <w:top w:val="single" w:sz="4" w:space="0" w:color="4A4D56" w:themeColor="text1"/>
              <w:left w:val="single" w:sz="4" w:space="0" w:color="4A4D56" w:themeColor="text1"/>
              <w:right w:val="single" w:sz="4" w:space="0" w:color="4A4D56" w:themeColor="text1"/>
            </w:tcBorders>
            <w:shd w:val="clear" w:color="auto" w:fill="053572" w:themeFill="text2"/>
          </w:tcPr>
          <w:p w14:paraId="179D91E2" w14:textId="77777777" w:rsidR="00F5586C"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t>…</w:t>
            </w:r>
          </w:p>
        </w:tc>
        <w:tc>
          <w:tcPr>
            <w:tcW w:w="405" w:type="pct"/>
            <w:tcBorders>
              <w:top w:val="single" w:sz="4" w:space="0" w:color="4A4D56" w:themeColor="text1"/>
              <w:left w:val="single" w:sz="4" w:space="0" w:color="4A4D56" w:themeColor="text1"/>
              <w:right w:val="single" w:sz="4" w:space="0" w:color="4A4D56" w:themeColor="text1"/>
            </w:tcBorders>
            <w:shd w:val="clear" w:color="auto" w:fill="053572" w:themeFill="text2"/>
          </w:tcPr>
          <w:p w14:paraId="12F2586F" w14:textId="77777777" w:rsidR="00F5586C"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t>2030</w:t>
            </w:r>
          </w:p>
        </w:tc>
        <w:tc>
          <w:tcPr>
            <w:tcW w:w="136" w:type="pct"/>
            <w:tcBorders>
              <w:left w:val="single" w:sz="4" w:space="0" w:color="4A4D56" w:themeColor="text1"/>
              <w:right w:val="single" w:sz="4" w:space="0" w:color="4A4D56" w:themeColor="text1"/>
            </w:tcBorders>
            <w:shd w:val="clear" w:color="auto" w:fill="053572" w:themeFill="text2"/>
          </w:tcPr>
          <w:p w14:paraId="76374452" w14:textId="77777777"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r>
              <w:t>…</w:t>
            </w:r>
          </w:p>
        </w:tc>
        <w:tc>
          <w:tcPr>
            <w:tcW w:w="480" w:type="pct"/>
            <w:vMerge/>
            <w:tcBorders>
              <w:left w:val="single" w:sz="4" w:space="0" w:color="4A4D56" w:themeColor="text1"/>
            </w:tcBorders>
            <w:shd w:val="clear" w:color="auto" w:fill="053572" w:themeFill="text2"/>
          </w:tcPr>
          <w:p w14:paraId="4144E381" w14:textId="77777777" w:rsidR="00F5586C" w:rsidRPr="00625570" w:rsidRDefault="00F5586C" w:rsidP="00F5586C">
            <w:pPr>
              <w:pStyle w:val="TableHeadingCentered"/>
              <w:cnfStyle w:val="000000100000" w:firstRow="0" w:lastRow="0" w:firstColumn="0" w:lastColumn="0" w:oddVBand="0" w:evenVBand="0" w:oddHBand="1" w:evenHBand="0" w:firstRowFirstColumn="0" w:firstRowLastColumn="0" w:lastRowFirstColumn="0" w:lastRowLastColumn="0"/>
            </w:pPr>
          </w:p>
        </w:tc>
      </w:tr>
      <w:tr w:rsidR="00F5586C" w14:paraId="089F15F7"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Pr>
          <w:p w14:paraId="34CCB6E4" w14:textId="25BD803F" w:rsidR="00F5586C" w:rsidRDefault="00F5586C" w:rsidP="00F5586C">
            <w:pPr>
              <w:pStyle w:val="TableLeftText"/>
            </w:pPr>
            <w:r>
              <w:rPr>
                <w:color w:val="4A4D56"/>
              </w:rPr>
              <w:t>Residential</w:t>
            </w:r>
          </w:p>
        </w:tc>
        <w:tc>
          <w:tcPr>
            <w:tcW w:w="325" w:type="pct"/>
          </w:tcPr>
          <w:p w14:paraId="2C9116D4" w14:textId="71EDB6B8"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10.3</w:t>
            </w:r>
          </w:p>
        </w:tc>
        <w:tc>
          <w:tcPr>
            <w:tcW w:w="753" w:type="pct"/>
          </w:tcPr>
          <w:p w14:paraId="5525A03A" w14:textId="4787A429"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159,796</w:t>
            </w:r>
          </w:p>
        </w:tc>
        <w:tc>
          <w:tcPr>
            <w:tcW w:w="299" w:type="pct"/>
          </w:tcPr>
          <w:p w14:paraId="1F80A96A" w14:textId="39B1815A"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0.901</w:t>
            </w:r>
          </w:p>
        </w:tc>
        <w:tc>
          <w:tcPr>
            <w:tcW w:w="405" w:type="pct"/>
            <w:gridSpan w:val="2"/>
          </w:tcPr>
          <w:p w14:paraId="25F000E8" w14:textId="1F2F8272"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144,038</w:t>
            </w:r>
          </w:p>
        </w:tc>
        <w:tc>
          <w:tcPr>
            <w:tcW w:w="405" w:type="pct"/>
          </w:tcPr>
          <w:p w14:paraId="035F7D02" w14:textId="7CAC02BD"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144,038</w:t>
            </w:r>
          </w:p>
        </w:tc>
        <w:tc>
          <w:tcPr>
            <w:tcW w:w="405" w:type="pct"/>
            <w:gridSpan w:val="2"/>
          </w:tcPr>
          <w:p w14:paraId="014B561A" w14:textId="6DF1F6C2"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143,074</w:t>
            </w:r>
          </w:p>
        </w:tc>
        <w:tc>
          <w:tcPr>
            <w:tcW w:w="405" w:type="pct"/>
            <w:gridSpan w:val="2"/>
          </w:tcPr>
          <w:p w14:paraId="4232C28A" w14:textId="7694521B"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143,073</w:t>
            </w:r>
          </w:p>
        </w:tc>
        <w:tc>
          <w:tcPr>
            <w:tcW w:w="132" w:type="pct"/>
          </w:tcPr>
          <w:p w14:paraId="305E1096" w14:textId="77777777" w:rsidR="00F5586C" w:rsidRDefault="00F5586C" w:rsidP="00F5586C">
            <w:pPr>
              <w:pStyle w:val="TableCenterText"/>
              <w:cnfStyle w:val="000000010000" w:firstRow="0" w:lastRow="0" w:firstColumn="0" w:lastColumn="0" w:oddVBand="0" w:evenVBand="0" w:oddHBand="0" w:evenHBand="1" w:firstRowFirstColumn="0" w:firstRowLastColumn="0" w:lastRowFirstColumn="0" w:lastRowLastColumn="0"/>
            </w:pPr>
            <w:r>
              <w:rPr>
                <w:color w:val="4A4D56"/>
              </w:rPr>
              <w:t>…</w:t>
            </w:r>
          </w:p>
        </w:tc>
        <w:tc>
          <w:tcPr>
            <w:tcW w:w="405" w:type="pct"/>
          </w:tcPr>
          <w:p w14:paraId="23AF1160" w14:textId="1E6DC500"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139,693</w:t>
            </w:r>
          </w:p>
        </w:tc>
        <w:tc>
          <w:tcPr>
            <w:tcW w:w="136" w:type="pct"/>
          </w:tcPr>
          <w:p w14:paraId="0E3A6346" w14:textId="77777777" w:rsidR="00F5586C" w:rsidRDefault="00F5586C" w:rsidP="00F5586C">
            <w:pPr>
              <w:pStyle w:val="TableCenterText"/>
              <w:cnfStyle w:val="000000010000" w:firstRow="0" w:lastRow="0" w:firstColumn="0" w:lastColumn="0" w:oddVBand="0" w:evenVBand="0" w:oddHBand="0" w:evenHBand="1" w:firstRowFirstColumn="0" w:firstRowLastColumn="0" w:lastRowFirstColumn="0" w:lastRowLastColumn="0"/>
            </w:pPr>
            <w:r>
              <w:rPr>
                <w:color w:val="4A4D56"/>
              </w:rPr>
              <w:t>…</w:t>
            </w:r>
          </w:p>
        </w:tc>
        <w:tc>
          <w:tcPr>
            <w:tcW w:w="480" w:type="pct"/>
          </w:tcPr>
          <w:p w14:paraId="70FF2E46" w14:textId="32ED5E61"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1,464,770</w:t>
            </w:r>
          </w:p>
        </w:tc>
      </w:tr>
      <w:tr w:rsidR="00F5586C" w14:paraId="4C22265A"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Pr>
          <w:p w14:paraId="5A1A52CF" w14:textId="720997D9" w:rsidR="00F5586C" w:rsidRDefault="00F5586C" w:rsidP="00F5586C">
            <w:pPr>
              <w:pStyle w:val="TableLeftText"/>
            </w:pPr>
            <w:r>
              <w:rPr>
                <w:color w:val="4A4D56"/>
              </w:rPr>
              <w:t>Business</w:t>
            </w:r>
          </w:p>
        </w:tc>
        <w:tc>
          <w:tcPr>
            <w:tcW w:w="325" w:type="pct"/>
          </w:tcPr>
          <w:p w14:paraId="3EE7C43D" w14:textId="75134A3A"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14.6</w:t>
            </w:r>
          </w:p>
        </w:tc>
        <w:tc>
          <w:tcPr>
            <w:tcW w:w="753" w:type="pct"/>
          </w:tcPr>
          <w:p w14:paraId="5C60275C" w14:textId="00139094"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192,719</w:t>
            </w:r>
          </w:p>
        </w:tc>
        <w:tc>
          <w:tcPr>
            <w:tcW w:w="299" w:type="pct"/>
          </w:tcPr>
          <w:p w14:paraId="6FD2CE09" w14:textId="099E3AD6"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0.910</w:t>
            </w:r>
          </w:p>
        </w:tc>
        <w:tc>
          <w:tcPr>
            <w:tcW w:w="405" w:type="pct"/>
            <w:gridSpan w:val="2"/>
          </w:tcPr>
          <w:p w14:paraId="05371267" w14:textId="331EC9B9"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175,338</w:t>
            </w:r>
          </w:p>
        </w:tc>
        <w:tc>
          <w:tcPr>
            <w:tcW w:w="405" w:type="pct"/>
          </w:tcPr>
          <w:p w14:paraId="2CC9B8E2" w14:textId="3F2D980C"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175,338</w:t>
            </w:r>
          </w:p>
        </w:tc>
        <w:tc>
          <w:tcPr>
            <w:tcW w:w="405" w:type="pct"/>
            <w:gridSpan w:val="2"/>
          </w:tcPr>
          <w:p w14:paraId="51C68A2C" w14:textId="532ED608"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175,266</w:t>
            </w:r>
          </w:p>
        </w:tc>
        <w:tc>
          <w:tcPr>
            <w:tcW w:w="405" w:type="pct"/>
            <w:gridSpan w:val="2"/>
          </w:tcPr>
          <w:p w14:paraId="48AF8C2E" w14:textId="46D5CA4C"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173,409</w:t>
            </w:r>
          </w:p>
        </w:tc>
        <w:tc>
          <w:tcPr>
            <w:tcW w:w="132" w:type="pct"/>
          </w:tcPr>
          <w:p w14:paraId="11A1A485" w14:textId="77777777" w:rsidR="00F5586C" w:rsidRDefault="00F5586C" w:rsidP="00F5586C">
            <w:pPr>
              <w:pStyle w:val="TableCenterText"/>
              <w:cnfStyle w:val="000000100000" w:firstRow="0" w:lastRow="0" w:firstColumn="0" w:lastColumn="0" w:oddVBand="0" w:evenVBand="0" w:oddHBand="1" w:evenHBand="0" w:firstRowFirstColumn="0" w:firstRowLastColumn="0" w:lastRowFirstColumn="0" w:lastRowLastColumn="0"/>
            </w:pPr>
            <w:r>
              <w:rPr>
                <w:color w:val="4A4D56"/>
              </w:rPr>
              <w:t>…</w:t>
            </w:r>
          </w:p>
        </w:tc>
        <w:tc>
          <w:tcPr>
            <w:tcW w:w="405" w:type="pct"/>
          </w:tcPr>
          <w:p w14:paraId="013133B3" w14:textId="742B5003"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169,580</w:t>
            </w:r>
          </w:p>
        </w:tc>
        <w:tc>
          <w:tcPr>
            <w:tcW w:w="136" w:type="pct"/>
          </w:tcPr>
          <w:p w14:paraId="5799020A" w14:textId="77777777" w:rsidR="00F5586C" w:rsidRDefault="00F5586C" w:rsidP="00F5586C">
            <w:pPr>
              <w:pStyle w:val="TableCenterText"/>
              <w:cnfStyle w:val="000000100000" w:firstRow="0" w:lastRow="0" w:firstColumn="0" w:lastColumn="0" w:oddVBand="0" w:evenVBand="0" w:oddHBand="1" w:evenHBand="0" w:firstRowFirstColumn="0" w:firstRowLastColumn="0" w:lastRowFirstColumn="0" w:lastRowLastColumn="0"/>
            </w:pPr>
            <w:r>
              <w:rPr>
                <w:color w:val="4A4D56"/>
              </w:rPr>
              <w:t>…</w:t>
            </w:r>
          </w:p>
        </w:tc>
        <w:tc>
          <w:tcPr>
            <w:tcW w:w="480" w:type="pct"/>
          </w:tcPr>
          <w:p w14:paraId="23F01353" w14:textId="574A77C5" w:rsidR="00F5586C" w:rsidRPr="006A5396"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2,517,077</w:t>
            </w:r>
          </w:p>
        </w:tc>
      </w:tr>
      <w:tr w:rsidR="00F5586C" w14:paraId="535E05BF"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Pr>
          <w:p w14:paraId="5526244F" w14:textId="43DAFC37" w:rsidR="00F5586C" w:rsidRDefault="00F5586C" w:rsidP="00F5586C">
            <w:pPr>
              <w:pStyle w:val="TableLeftText"/>
            </w:pPr>
            <w:r>
              <w:rPr>
                <w:color w:val="4A4D56"/>
              </w:rPr>
              <w:t>(b-25) Conversions</w:t>
            </w:r>
          </w:p>
        </w:tc>
        <w:tc>
          <w:tcPr>
            <w:tcW w:w="325" w:type="pct"/>
          </w:tcPr>
          <w:p w14:paraId="334BCDD5" w14:textId="0917061B"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24.7</w:t>
            </w:r>
          </w:p>
        </w:tc>
        <w:tc>
          <w:tcPr>
            <w:tcW w:w="753" w:type="pct"/>
          </w:tcPr>
          <w:p w14:paraId="7E2423C4" w14:textId="5351E86A"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52,789</w:t>
            </w:r>
          </w:p>
        </w:tc>
        <w:tc>
          <w:tcPr>
            <w:tcW w:w="299" w:type="pct"/>
          </w:tcPr>
          <w:p w14:paraId="4B7D09AB" w14:textId="33ECDD4C"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0.804</w:t>
            </w:r>
          </w:p>
        </w:tc>
        <w:tc>
          <w:tcPr>
            <w:tcW w:w="405" w:type="pct"/>
            <w:gridSpan w:val="2"/>
          </w:tcPr>
          <w:p w14:paraId="16E8BB84" w14:textId="12BE93D6"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42,428</w:t>
            </w:r>
          </w:p>
        </w:tc>
        <w:tc>
          <w:tcPr>
            <w:tcW w:w="405" w:type="pct"/>
          </w:tcPr>
          <w:p w14:paraId="796E7AFC" w14:textId="343A447F"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42,428</w:t>
            </w:r>
          </w:p>
        </w:tc>
        <w:tc>
          <w:tcPr>
            <w:tcW w:w="405" w:type="pct"/>
            <w:gridSpan w:val="2"/>
          </w:tcPr>
          <w:p w14:paraId="1E71130E" w14:textId="3A62881D"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42,428</w:t>
            </w:r>
          </w:p>
        </w:tc>
        <w:tc>
          <w:tcPr>
            <w:tcW w:w="405" w:type="pct"/>
            <w:gridSpan w:val="2"/>
          </w:tcPr>
          <w:p w14:paraId="72F4BD26" w14:textId="710CA16A"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42,428</w:t>
            </w:r>
          </w:p>
        </w:tc>
        <w:tc>
          <w:tcPr>
            <w:tcW w:w="132" w:type="pct"/>
          </w:tcPr>
          <w:p w14:paraId="32095C6F" w14:textId="77777777" w:rsidR="00F5586C" w:rsidRDefault="00F5586C" w:rsidP="00F5586C">
            <w:pPr>
              <w:pStyle w:val="TableCenterText"/>
              <w:cnfStyle w:val="000000010000" w:firstRow="0" w:lastRow="0" w:firstColumn="0" w:lastColumn="0" w:oddVBand="0" w:evenVBand="0" w:oddHBand="0" w:evenHBand="1" w:firstRowFirstColumn="0" w:firstRowLastColumn="0" w:lastRowFirstColumn="0" w:lastRowLastColumn="0"/>
            </w:pPr>
            <w:r>
              <w:rPr>
                <w:color w:val="4A4D56"/>
              </w:rPr>
              <w:t>…</w:t>
            </w:r>
          </w:p>
        </w:tc>
        <w:tc>
          <w:tcPr>
            <w:tcW w:w="405" w:type="pct"/>
          </w:tcPr>
          <w:p w14:paraId="2C2BCB18" w14:textId="3CA97A14"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42,428</w:t>
            </w:r>
          </w:p>
        </w:tc>
        <w:tc>
          <w:tcPr>
            <w:tcW w:w="136" w:type="pct"/>
          </w:tcPr>
          <w:p w14:paraId="271B171C" w14:textId="77777777" w:rsidR="00F5586C" w:rsidRDefault="00F5586C" w:rsidP="00F5586C">
            <w:pPr>
              <w:pStyle w:val="TableCenterText"/>
              <w:cnfStyle w:val="000000010000" w:firstRow="0" w:lastRow="0" w:firstColumn="0" w:lastColumn="0" w:oddVBand="0" w:evenVBand="0" w:oddHBand="0" w:evenHBand="1" w:firstRowFirstColumn="0" w:firstRowLastColumn="0" w:lastRowFirstColumn="0" w:lastRowLastColumn="0"/>
            </w:pPr>
            <w:r>
              <w:rPr>
                <w:color w:val="4A4D56"/>
              </w:rPr>
              <w:t>…</w:t>
            </w:r>
          </w:p>
        </w:tc>
        <w:tc>
          <w:tcPr>
            <w:tcW w:w="480" w:type="pct"/>
          </w:tcPr>
          <w:p w14:paraId="55525A46" w14:textId="5EE193CF" w:rsidR="00F5586C" w:rsidRPr="006A5396"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1,053,837</w:t>
            </w:r>
          </w:p>
        </w:tc>
      </w:tr>
      <w:tr w:rsidR="00F5586C" w14:paraId="0F95B488"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Pr>
          <w:p w14:paraId="671BD73A" w14:textId="1378B750" w:rsidR="00F5586C" w:rsidRDefault="00F5586C" w:rsidP="00F5586C">
            <w:pPr>
              <w:pStyle w:val="TableLeftText"/>
              <w:rPr>
                <w:color w:val="4A4D56"/>
              </w:rPr>
            </w:pPr>
            <w:r>
              <w:rPr>
                <w:color w:val="4A4D56"/>
              </w:rPr>
              <w:t>Voltage Optimization</w:t>
            </w:r>
          </w:p>
        </w:tc>
        <w:tc>
          <w:tcPr>
            <w:tcW w:w="325" w:type="pct"/>
          </w:tcPr>
          <w:p w14:paraId="321CC754" w14:textId="191D40AC"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15.0</w:t>
            </w:r>
          </w:p>
        </w:tc>
        <w:tc>
          <w:tcPr>
            <w:tcW w:w="753" w:type="pct"/>
          </w:tcPr>
          <w:p w14:paraId="1517B3A4" w14:textId="1246BA56"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299" w:type="pct"/>
          </w:tcPr>
          <w:p w14:paraId="4953510D" w14:textId="3E674365"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N/A</w:t>
            </w:r>
          </w:p>
        </w:tc>
        <w:tc>
          <w:tcPr>
            <w:tcW w:w="405" w:type="pct"/>
            <w:gridSpan w:val="2"/>
          </w:tcPr>
          <w:p w14:paraId="1C593B96" w14:textId="0C995A65"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405" w:type="pct"/>
          </w:tcPr>
          <w:p w14:paraId="264FB77F" w14:textId="722D83F8"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405" w:type="pct"/>
            <w:gridSpan w:val="2"/>
          </w:tcPr>
          <w:p w14:paraId="5B3F39FC" w14:textId="572CB289"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405" w:type="pct"/>
            <w:gridSpan w:val="2"/>
          </w:tcPr>
          <w:p w14:paraId="23A050E4" w14:textId="68CA0BE8"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132" w:type="pct"/>
          </w:tcPr>
          <w:p w14:paraId="584BF439" w14:textId="3DFAE898" w:rsidR="00F5586C"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color w:val="4A4D56"/>
              </w:rPr>
            </w:pPr>
            <w:r>
              <w:rPr>
                <w:color w:val="4A4D56"/>
              </w:rPr>
              <w:t>…</w:t>
            </w:r>
          </w:p>
        </w:tc>
        <w:tc>
          <w:tcPr>
            <w:tcW w:w="405" w:type="pct"/>
          </w:tcPr>
          <w:p w14:paraId="74E50DCA" w14:textId="4CBD15D3"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77,169</w:t>
            </w:r>
          </w:p>
        </w:tc>
        <w:tc>
          <w:tcPr>
            <w:tcW w:w="136" w:type="pct"/>
          </w:tcPr>
          <w:p w14:paraId="124EEB7B" w14:textId="0AC30B1F" w:rsidR="00F5586C"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color w:val="4A4D56"/>
              </w:rPr>
            </w:pPr>
            <w:r>
              <w:rPr>
                <w:color w:val="4A4D56"/>
              </w:rPr>
              <w:t>…</w:t>
            </w:r>
          </w:p>
        </w:tc>
        <w:tc>
          <w:tcPr>
            <w:tcW w:w="480" w:type="pct"/>
          </w:tcPr>
          <w:p w14:paraId="78AC9324" w14:textId="0EF064D6" w:rsidR="00F5586C"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1,157,529</w:t>
            </w:r>
          </w:p>
        </w:tc>
      </w:tr>
      <w:tr w:rsidR="00435227" w14:paraId="2CCA219D"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Borders>
              <w:right w:val="nil"/>
            </w:tcBorders>
            <w:shd w:val="clear" w:color="auto" w:fill="D9D9D9"/>
          </w:tcPr>
          <w:p w14:paraId="590F53D1" w14:textId="3FDF0FA3" w:rsidR="00F5586C" w:rsidRPr="00B63B6D" w:rsidRDefault="00F5586C" w:rsidP="00F5586C">
            <w:pPr>
              <w:pStyle w:val="TableLeftText"/>
              <w:rPr>
                <w:rFonts w:ascii="Franklin Gothic Medium" w:hAnsi="Franklin Gothic Medium"/>
              </w:rPr>
            </w:pPr>
            <w:r w:rsidRPr="00B63B6D">
              <w:rPr>
                <w:rFonts w:ascii="Franklin Gothic Medium" w:hAnsi="Franklin Gothic Medium"/>
              </w:rPr>
              <w:t>202</w:t>
            </w:r>
            <w:r>
              <w:rPr>
                <w:rFonts w:ascii="Franklin Gothic Medium" w:hAnsi="Franklin Gothic Medium"/>
              </w:rPr>
              <w:t>4</w:t>
            </w:r>
            <w:r w:rsidRPr="00B63B6D">
              <w:rPr>
                <w:rFonts w:ascii="Franklin Gothic Medium" w:hAnsi="Franklin Gothic Medium"/>
              </w:rPr>
              <w:t xml:space="preserve"> CPAS</w:t>
            </w:r>
          </w:p>
        </w:tc>
        <w:tc>
          <w:tcPr>
            <w:tcW w:w="325" w:type="pct"/>
            <w:tcBorders>
              <w:left w:val="nil"/>
            </w:tcBorders>
            <w:shd w:val="clear" w:color="auto" w:fill="D9D9D9"/>
          </w:tcPr>
          <w:p w14:paraId="3C0F5430" w14:textId="77777777"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753" w:type="pct"/>
            <w:shd w:val="clear" w:color="auto" w:fill="D9D9D9"/>
          </w:tcPr>
          <w:p w14:paraId="331D986B" w14:textId="5823735D"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482,472</w:t>
            </w:r>
          </w:p>
        </w:tc>
        <w:tc>
          <w:tcPr>
            <w:tcW w:w="299" w:type="pct"/>
            <w:shd w:val="clear" w:color="auto" w:fill="D9D9D9"/>
          </w:tcPr>
          <w:p w14:paraId="116D18B1" w14:textId="630D96C4"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0.910</w:t>
            </w:r>
          </w:p>
        </w:tc>
        <w:tc>
          <w:tcPr>
            <w:tcW w:w="405" w:type="pct"/>
            <w:gridSpan w:val="2"/>
            <w:shd w:val="clear" w:color="auto" w:fill="D9D9D9"/>
          </w:tcPr>
          <w:p w14:paraId="2158ED48" w14:textId="2A37B0D4"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438,973</w:t>
            </w:r>
          </w:p>
        </w:tc>
        <w:tc>
          <w:tcPr>
            <w:tcW w:w="405" w:type="pct"/>
            <w:shd w:val="clear" w:color="auto" w:fill="D9D9D9"/>
          </w:tcPr>
          <w:p w14:paraId="6B93B8B9" w14:textId="35877DEC"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438,973</w:t>
            </w:r>
          </w:p>
        </w:tc>
        <w:tc>
          <w:tcPr>
            <w:tcW w:w="405" w:type="pct"/>
            <w:gridSpan w:val="2"/>
            <w:shd w:val="clear" w:color="auto" w:fill="D9D9D9"/>
          </w:tcPr>
          <w:p w14:paraId="1D227BAF" w14:textId="29F69676"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437,937</w:t>
            </w:r>
          </w:p>
        </w:tc>
        <w:tc>
          <w:tcPr>
            <w:tcW w:w="405" w:type="pct"/>
            <w:gridSpan w:val="2"/>
            <w:shd w:val="clear" w:color="auto" w:fill="D9D9D9"/>
          </w:tcPr>
          <w:p w14:paraId="4EEFA065" w14:textId="73F6EA88"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436,079</w:t>
            </w:r>
          </w:p>
        </w:tc>
        <w:tc>
          <w:tcPr>
            <w:tcW w:w="132" w:type="pct"/>
            <w:shd w:val="clear" w:color="auto" w:fill="D9D9D9"/>
          </w:tcPr>
          <w:p w14:paraId="59E928E4"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05" w:type="pct"/>
            <w:shd w:val="clear" w:color="auto" w:fill="D9D9D9"/>
          </w:tcPr>
          <w:p w14:paraId="60D2A9BD" w14:textId="0CFB2136"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428,870</w:t>
            </w:r>
          </w:p>
        </w:tc>
        <w:tc>
          <w:tcPr>
            <w:tcW w:w="136" w:type="pct"/>
            <w:shd w:val="clear" w:color="auto" w:fill="D9D9D9"/>
          </w:tcPr>
          <w:p w14:paraId="0CC69B9E"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80" w:type="pct"/>
            <w:shd w:val="clear" w:color="auto" w:fill="D9D9D9"/>
          </w:tcPr>
          <w:p w14:paraId="3A4CBBB7" w14:textId="37592A27"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6,193,212</w:t>
            </w:r>
          </w:p>
        </w:tc>
      </w:tr>
      <w:tr w:rsidR="00435227" w14:paraId="42752823"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Borders>
              <w:right w:val="nil"/>
            </w:tcBorders>
            <w:shd w:val="clear" w:color="auto" w:fill="D9D9D9"/>
          </w:tcPr>
          <w:p w14:paraId="61785E79" w14:textId="02E3F916" w:rsidR="00F5586C" w:rsidRPr="00B63B6D" w:rsidRDefault="00F5586C" w:rsidP="00F5586C">
            <w:pPr>
              <w:pStyle w:val="TableLeftText"/>
              <w:rPr>
                <w:rFonts w:ascii="Franklin Gothic Medium" w:hAnsi="Franklin Gothic Medium"/>
              </w:rPr>
            </w:pPr>
            <w:r w:rsidRPr="00B63B6D">
              <w:rPr>
                <w:rFonts w:ascii="Franklin Gothic Medium" w:hAnsi="Franklin Gothic Medium"/>
              </w:rPr>
              <w:t>Expiring 202</w:t>
            </w:r>
            <w:r>
              <w:rPr>
                <w:rFonts w:ascii="Franklin Gothic Medium" w:hAnsi="Franklin Gothic Medium"/>
              </w:rPr>
              <w:t>4</w:t>
            </w:r>
            <w:r w:rsidRPr="00B63B6D">
              <w:rPr>
                <w:rFonts w:ascii="Franklin Gothic Medium" w:hAnsi="Franklin Gothic Medium"/>
              </w:rPr>
              <w:t xml:space="preserve"> CPAS</w:t>
            </w:r>
          </w:p>
        </w:tc>
        <w:tc>
          <w:tcPr>
            <w:tcW w:w="325" w:type="pct"/>
            <w:tcBorders>
              <w:left w:val="nil"/>
              <w:right w:val="nil"/>
            </w:tcBorders>
            <w:shd w:val="clear" w:color="auto" w:fill="D9D9D9"/>
          </w:tcPr>
          <w:p w14:paraId="61CD2B03"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753" w:type="pct"/>
            <w:tcBorders>
              <w:left w:val="nil"/>
              <w:right w:val="nil"/>
            </w:tcBorders>
            <w:shd w:val="clear" w:color="auto" w:fill="D9D9D9"/>
          </w:tcPr>
          <w:p w14:paraId="16F7F0E1"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299" w:type="pct"/>
            <w:tcBorders>
              <w:left w:val="nil"/>
            </w:tcBorders>
            <w:shd w:val="clear" w:color="auto" w:fill="D9D9D9"/>
          </w:tcPr>
          <w:p w14:paraId="40E09299"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405" w:type="pct"/>
            <w:gridSpan w:val="2"/>
            <w:shd w:val="clear" w:color="auto" w:fill="D9D9D9"/>
          </w:tcPr>
          <w:p w14:paraId="0264CD87" w14:textId="555BEB3F"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405" w:type="pct"/>
            <w:shd w:val="clear" w:color="auto" w:fill="D9D9D9"/>
          </w:tcPr>
          <w:p w14:paraId="702D74A1" w14:textId="425CB8A3"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405" w:type="pct"/>
            <w:gridSpan w:val="2"/>
            <w:shd w:val="clear" w:color="auto" w:fill="D9D9D9"/>
          </w:tcPr>
          <w:p w14:paraId="1AE0345C" w14:textId="7A241C81"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1,036</w:t>
            </w:r>
          </w:p>
        </w:tc>
        <w:tc>
          <w:tcPr>
            <w:tcW w:w="405" w:type="pct"/>
            <w:gridSpan w:val="2"/>
            <w:shd w:val="clear" w:color="auto" w:fill="D9D9D9"/>
          </w:tcPr>
          <w:p w14:paraId="26457F2C" w14:textId="56667227"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1,858</w:t>
            </w:r>
          </w:p>
        </w:tc>
        <w:tc>
          <w:tcPr>
            <w:tcW w:w="132" w:type="pct"/>
            <w:shd w:val="clear" w:color="auto" w:fill="D9D9D9"/>
          </w:tcPr>
          <w:p w14:paraId="532C74FA"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05" w:type="pct"/>
            <w:shd w:val="clear" w:color="auto" w:fill="D9D9D9"/>
          </w:tcPr>
          <w:p w14:paraId="6B908B49" w14:textId="1935DB21"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2,602</w:t>
            </w:r>
          </w:p>
        </w:tc>
        <w:tc>
          <w:tcPr>
            <w:tcW w:w="136" w:type="pct"/>
            <w:shd w:val="clear" w:color="auto" w:fill="D9D9D9"/>
          </w:tcPr>
          <w:p w14:paraId="233C6203"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80" w:type="pct"/>
            <w:tcBorders>
              <w:bottom w:val="nil"/>
              <w:right w:val="nil"/>
            </w:tcBorders>
            <w:vAlign w:val="bottom"/>
          </w:tcPr>
          <w:p w14:paraId="5E88D58B" w14:textId="77777777" w:rsidR="00F5586C" w:rsidRPr="00B63B6D"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r>
      <w:tr w:rsidR="00435227" w14:paraId="583170A9"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tcBorders>
              <w:right w:val="nil"/>
            </w:tcBorders>
            <w:shd w:val="clear" w:color="auto" w:fill="D9D9D9"/>
          </w:tcPr>
          <w:p w14:paraId="23919D1C" w14:textId="27D31158" w:rsidR="00F5586C" w:rsidRPr="00B63B6D" w:rsidRDefault="00F5586C" w:rsidP="00F5586C">
            <w:pPr>
              <w:pStyle w:val="TableLeftText"/>
              <w:rPr>
                <w:rFonts w:ascii="Franklin Gothic Medium" w:hAnsi="Franklin Gothic Medium"/>
              </w:rPr>
            </w:pPr>
            <w:r w:rsidRPr="00B63B6D">
              <w:rPr>
                <w:rFonts w:ascii="Franklin Gothic Medium" w:hAnsi="Franklin Gothic Medium"/>
              </w:rPr>
              <w:t>Expired 202</w:t>
            </w:r>
            <w:r>
              <w:rPr>
                <w:rFonts w:ascii="Franklin Gothic Medium" w:hAnsi="Franklin Gothic Medium"/>
              </w:rPr>
              <w:t>4</w:t>
            </w:r>
            <w:r w:rsidRPr="00B63B6D">
              <w:rPr>
                <w:rFonts w:ascii="Franklin Gothic Medium" w:hAnsi="Franklin Gothic Medium"/>
              </w:rPr>
              <w:t xml:space="preserve"> CPAS</w:t>
            </w:r>
          </w:p>
        </w:tc>
        <w:tc>
          <w:tcPr>
            <w:tcW w:w="325" w:type="pct"/>
            <w:tcBorders>
              <w:left w:val="nil"/>
              <w:right w:val="nil"/>
            </w:tcBorders>
            <w:shd w:val="clear" w:color="auto" w:fill="D9D9D9"/>
          </w:tcPr>
          <w:p w14:paraId="2444FF35" w14:textId="77777777"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753" w:type="pct"/>
            <w:tcBorders>
              <w:left w:val="nil"/>
              <w:right w:val="nil"/>
            </w:tcBorders>
            <w:shd w:val="clear" w:color="auto" w:fill="D9D9D9"/>
          </w:tcPr>
          <w:p w14:paraId="05FF6B66"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299" w:type="pct"/>
            <w:tcBorders>
              <w:left w:val="nil"/>
            </w:tcBorders>
            <w:shd w:val="clear" w:color="auto" w:fill="D9D9D9"/>
          </w:tcPr>
          <w:p w14:paraId="32C7E50C"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405" w:type="pct"/>
            <w:gridSpan w:val="2"/>
            <w:shd w:val="clear" w:color="auto" w:fill="D9D9D9"/>
          </w:tcPr>
          <w:p w14:paraId="39AAD1A8" w14:textId="418C1FFB"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405" w:type="pct"/>
            <w:shd w:val="clear" w:color="auto" w:fill="D9D9D9"/>
          </w:tcPr>
          <w:p w14:paraId="6939DAC4" w14:textId="37B3B095"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405" w:type="pct"/>
            <w:gridSpan w:val="2"/>
            <w:shd w:val="clear" w:color="auto" w:fill="D9D9D9"/>
          </w:tcPr>
          <w:p w14:paraId="6B8A8F01" w14:textId="038A1A27"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1,036</w:t>
            </w:r>
          </w:p>
        </w:tc>
        <w:tc>
          <w:tcPr>
            <w:tcW w:w="405" w:type="pct"/>
            <w:gridSpan w:val="2"/>
            <w:shd w:val="clear" w:color="auto" w:fill="D9D9D9"/>
          </w:tcPr>
          <w:p w14:paraId="3D9D1898" w14:textId="6419EB5C"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2,894</w:t>
            </w:r>
          </w:p>
        </w:tc>
        <w:tc>
          <w:tcPr>
            <w:tcW w:w="132" w:type="pct"/>
            <w:shd w:val="clear" w:color="auto" w:fill="D9D9D9"/>
          </w:tcPr>
          <w:p w14:paraId="4EC5432E"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05" w:type="pct"/>
            <w:shd w:val="clear" w:color="auto" w:fill="D9D9D9"/>
          </w:tcPr>
          <w:p w14:paraId="00AF0BE3" w14:textId="4224318B"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10,103</w:t>
            </w:r>
          </w:p>
        </w:tc>
        <w:tc>
          <w:tcPr>
            <w:tcW w:w="136" w:type="pct"/>
            <w:shd w:val="clear" w:color="auto" w:fill="D9D9D9"/>
          </w:tcPr>
          <w:p w14:paraId="5667C494"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w:t>
            </w:r>
          </w:p>
        </w:tc>
        <w:tc>
          <w:tcPr>
            <w:tcW w:w="480" w:type="pct"/>
            <w:tcBorders>
              <w:top w:val="nil"/>
              <w:bottom w:val="nil"/>
              <w:right w:val="nil"/>
            </w:tcBorders>
            <w:vAlign w:val="bottom"/>
          </w:tcPr>
          <w:p w14:paraId="65ED35AF" w14:textId="77777777" w:rsidR="00F5586C" w:rsidRPr="00B63B6D"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r>
      <w:tr w:rsidR="00F5586C" w14:paraId="0CAC1B38"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shd w:val="clear" w:color="auto" w:fill="D9D9D9"/>
          </w:tcPr>
          <w:p w14:paraId="7BBBE76C" w14:textId="77777777" w:rsidR="00F5586C" w:rsidRPr="00B63B6D" w:rsidRDefault="00F5586C" w:rsidP="00F5586C">
            <w:pPr>
              <w:pStyle w:val="TableLeftText"/>
              <w:rPr>
                <w:rFonts w:ascii="Franklin Gothic Medium" w:hAnsi="Franklin Gothic Medium"/>
              </w:rPr>
            </w:pPr>
            <w:r w:rsidRPr="00B63B6D">
              <w:rPr>
                <w:rFonts w:ascii="Franklin Gothic Medium" w:hAnsi="Franklin Gothic Medium"/>
              </w:rPr>
              <w:t>WAML</w:t>
            </w:r>
          </w:p>
        </w:tc>
        <w:tc>
          <w:tcPr>
            <w:tcW w:w="325" w:type="pct"/>
            <w:shd w:val="clear" w:color="auto" w:fill="D9D9D9"/>
          </w:tcPr>
          <w:p w14:paraId="72AA06E1" w14:textId="00B73C88" w:rsidR="00F5586C" w:rsidRPr="00101554"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14.4</w:t>
            </w:r>
          </w:p>
        </w:tc>
        <w:tc>
          <w:tcPr>
            <w:tcW w:w="753" w:type="pct"/>
            <w:tcBorders>
              <w:bottom w:val="nil"/>
              <w:right w:val="nil"/>
            </w:tcBorders>
            <w:vAlign w:val="bottom"/>
          </w:tcPr>
          <w:p w14:paraId="7FD6CE42"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299" w:type="pct"/>
            <w:tcBorders>
              <w:left w:val="nil"/>
              <w:bottom w:val="nil"/>
              <w:right w:val="nil"/>
            </w:tcBorders>
            <w:vAlign w:val="bottom"/>
          </w:tcPr>
          <w:p w14:paraId="6EB3C929"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97" w:type="pct"/>
            <w:tcBorders>
              <w:left w:val="nil"/>
              <w:bottom w:val="nil"/>
              <w:right w:val="nil"/>
            </w:tcBorders>
            <w:vAlign w:val="bottom"/>
          </w:tcPr>
          <w:p w14:paraId="02392E99"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429" w:type="pct"/>
            <w:gridSpan w:val="3"/>
            <w:tcBorders>
              <w:left w:val="nil"/>
              <w:bottom w:val="nil"/>
              <w:right w:val="nil"/>
            </w:tcBorders>
            <w:vAlign w:val="bottom"/>
          </w:tcPr>
          <w:p w14:paraId="66BD4B11"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96" w:type="pct"/>
            <w:gridSpan w:val="2"/>
            <w:tcBorders>
              <w:left w:val="nil"/>
              <w:bottom w:val="nil"/>
              <w:right w:val="nil"/>
            </w:tcBorders>
            <w:vAlign w:val="bottom"/>
          </w:tcPr>
          <w:p w14:paraId="06F5C0D2"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98" w:type="pct"/>
            <w:tcBorders>
              <w:left w:val="nil"/>
              <w:bottom w:val="nil"/>
              <w:right w:val="nil"/>
            </w:tcBorders>
            <w:vAlign w:val="bottom"/>
          </w:tcPr>
          <w:p w14:paraId="1CF2E327"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32" w:type="pct"/>
            <w:tcBorders>
              <w:left w:val="nil"/>
              <w:bottom w:val="nil"/>
              <w:right w:val="nil"/>
            </w:tcBorders>
            <w:vAlign w:val="bottom"/>
          </w:tcPr>
          <w:p w14:paraId="2D00FEC0"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405" w:type="pct"/>
            <w:tcBorders>
              <w:left w:val="nil"/>
              <w:bottom w:val="nil"/>
              <w:right w:val="nil"/>
            </w:tcBorders>
            <w:vAlign w:val="bottom"/>
          </w:tcPr>
          <w:p w14:paraId="1A39CC57"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36" w:type="pct"/>
            <w:tcBorders>
              <w:left w:val="nil"/>
              <w:bottom w:val="nil"/>
              <w:right w:val="nil"/>
            </w:tcBorders>
            <w:vAlign w:val="bottom"/>
          </w:tcPr>
          <w:p w14:paraId="3660EF1C"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480" w:type="pct"/>
            <w:tcBorders>
              <w:top w:val="nil"/>
              <w:left w:val="nil"/>
              <w:bottom w:val="nil"/>
              <w:right w:val="nil"/>
            </w:tcBorders>
            <w:vAlign w:val="bottom"/>
          </w:tcPr>
          <w:p w14:paraId="3FC1E647" w14:textId="77777777" w:rsidR="00F5586C" w:rsidRPr="00B63B6D" w:rsidRDefault="00F5586C" w:rsidP="00F5586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r>
      <w:tr w:rsidR="00F5586C" w14:paraId="548E9124"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849" w:type="pct"/>
            <w:shd w:val="clear" w:color="auto" w:fill="D9D9D9"/>
          </w:tcPr>
          <w:p w14:paraId="419CFCA0" w14:textId="77777777" w:rsidR="00F5586C" w:rsidRPr="00B63B6D" w:rsidRDefault="00F5586C" w:rsidP="00F5586C">
            <w:pPr>
              <w:pStyle w:val="TableLeftText"/>
              <w:rPr>
                <w:rFonts w:ascii="Franklin Gothic Medium" w:hAnsi="Franklin Gothic Medium"/>
              </w:rPr>
            </w:pPr>
            <w:r>
              <w:rPr>
                <w:rFonts w:ascii="Franklin Gothic Medium" w:hAnsi="Franklin Gothic Medium"/>
              </w:rPr>
              <w:t>WAML without VO</w:t>
            </w:r>
          </w:p>
        </w:tc>
        <w:tc>
          <w:tcPr>
            <w:tcW w:w="325" w:type="pct"/>
            <w:shd w:val="clear" w:color="auto" w:fill="D9D9D9"/>
          </w:tcPr>
          <w:p w14:paraId="3E945254" w14:textId="1099D9B1" w:rsidR="00F5586C"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14.3</w:t>
            </w:r>
          </w:p>
        </w:tc>
        <w:tc>
          <w:tcPr>
            <w:tcW w:w="753" w:type="pct"/>
            <w:tcBorders>
              <w:top w:val="nil"/>
              <w:bottom w:val="nil"/>
              <w:right w:val="nil"/>
            </w:tcBorders>
            <w:vAlign w:val="bottom"/>
          </w:tcPr>
          <w:p w14:paraId="5B272FF0"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299" w:type="pct"/>
            <w:tcBorders>
              <w:top w:val="nil"/>
              <w:left w:val="nil"/>
              <w:bottom w:val="nil"/>
              <w:right w:val="nil"/>
            </w:tcBorders>
            <w:vAlign w:val="bottom"/>
          </w:tcPr>
          <w:p w14:paraId="0966F8B6"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97" w:type="pct"/>
            <w:tcBorders>
              <w:top w:val="nil"/>
              <w:left w:val="nil"/>
              <w:bottom w:val="nil"/>
              <w:right w:val="nil"/>
            </w:tcBorders>
            <w:vAlign w:val="bottom"/>
          </w:tcPr>
          <w:p w14:paraId="4E600E85"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429" w:type="pct"/>
            <w:gridSpan w:val="3"/>
            <w:tcBorders>
              <w:top w:val="nil"/>
              <w:left w:val="nil"/>
              <w:bottom w:val="nil"/>
              <w:right w:val="nil"/>
            </w:tcBorders>
            <w:vAlign w:val="bottom"/>
          </w:tcPr>
          <w:p w14:paraId="5619EB31"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96" w:type="pct"/>
            <w:gridSpan w:val="2"/>
            <w:tcBorders>
              <w:top w:val="nil"/>
              <w:left w:val="nil"/>
              <w:bottom w:val="nil"/>
              <w:right w:val="nil"/>
            </w:tcBorders>
            <w:vAlign w:val="bottom"/>
          </w:tcPr>
          <w:p w14:paraId="3B609FB3"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98" w:type="pct"/>
            <w:tcBorders>
              <w:top w:val="nil"/>
              <w:left w:val="nil"/>
              <w:bottom w:val="nil"/>
              <w:right w:val="nil"/>
            </w:tcBorders>
            <w:vAlign w:val="bottom"/>
          </w:tcPr>
          <w:p w14:paraId="04DB7B42"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32" w:type="pct"/>
            <w:tcBorders>
              <w:top w:val="nil"/>
              <w:left w:val="nil"/>
              <w:bottom w:val="nil"/>
              <w:right w:val="nil"/>
            </w:tcBorders>
            <w:vAlign w:val="bottom"/>
          </w:tcPr>
          <w:p w14:paraId="731455A9"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405" w:type="pct"/>
            <w:tcBorders>
              <w:top w:val="nil"/>
              <w:left w:val="nil"/>
              <w:bottom w:val="nil"/>
              <w:right w:val="nil"/>
            </w:tcBorders>
            <w:vAlign w:val="bottom"/>
          </w:tcPr>
          <w:p w14:paraId="6E27278F"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36" w:type="pct"/>
            <w:tcBorders>
              <w:top w:val="nil"/>
              <w:left w:val="nil"/>
              <w:bottom w:val="nil"/>
              <w:right w:val="nil"/>
            </w:tcBorders>
            <w:vAlign w:val="bottom"/>
          </w:tcPr>
          <w:p w14:paraId="6F2579D4"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480" w:type="pct"/>
            <w:tcBorders>
              <w:top w:val="nil"/>
              <w:left w:val="nil"/>
              <w:bottom w:val="nil"/>
              <w:right w:val="nil"/>
            </w:tcBorders>
            <w:vAlign w:val="bottom"/>
          </w:tcPr>
          <w:p w14:paraId="0BBFB4FA" w14:textId="77777777" w:rsidR="00F5586C" w:rsidRPr="00B63B6D" w:rsidRDefault="00F5586C" w:rsidP="00F5586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r>
    </w:tbl>
    <w:p w14:paraId="07AF1D7A" w14:textId="77777777" w:rsidR="004A1091" w:rsidRDefault="004A1091" w:rsidP="004A1091">
      <w:pPr>
        <w:pStyle w:val="Heading3"/>
      </w:pPr>
      <w:r>
        <w:lastRenderedPageBreak/>
        <w:t>Cumulative Persisting Annual Savings Goal Achievement</w:t>
      </w:r>
    </w:p>
    <w:p w14:paraId="640A82B2" w14:textId="6F4595D7" w:rsidR="004A1091" w:rsidRDefault="004A1091" w:rsidP="004A1091">
      <w:pPr>
        <w:keepNext/>
        <w:keepLines/>
      </w:pPr>
      <w:r>
        <w:t xml:space="preserve">AIC achieved </w:t>
      </w:r>
      <w:r w:rsidR="00F5586C">
        <w:t>109</w:t>
      </w:r>
      <w:r>
        <w:t xml:space="preserve">% of its 2024 CPAS goal for electric savings. 2024 CPAS achievement is presented in </w:t>
      </w:r>
      <w:r>
        <w:fldChar w:fldCharType="begin"/>
      </w:r>
      <w:r>
        <w:instrText xml:space="preserve"> REF _Ref161301593 \h </w:instrText>
      </w:r>
      <w:r>
        <w:fldChar w:fldCharType="separate"/>
      </w:r>
      <w:r w:rsidR="00F8548D">
        <w:t xml:space="preserve">Table </w:t>
      </w:r>
      <w:r w:rsidR="00F8548D">
        <w:rPr>
          <w:noProof/>
        </w:rPr>
        <w:t>4</w:t>
      </w:r>
      <w:r>
        <w:fldChar w:fldCharType="end"/>
      </w:r>
      <w:r>
        <w:t>.</w:t>
      </w:r>
    </w:p>
    <w:p w14:paraId="0244DB68" w14:textId="7A05489D" w:rsidR="004A1091" w:rsidRDefault="004A1091" w:rsidP="004A1091">
      <w:pPr>
        <w:pStyle w:val="Caption"/>
      </w:pPr>
      <w:bookmarkStart w:id="17" w:name="_Ref161301593"/>
      <w:bookmarkStart w:id="18" w:name="_Toc192774878"/>
      <w:r>
        <w:t xml:space="preserve">Table </w:t>
      </w:r>
      <w:r>
        <w:fldChar w:fldCharType="begin"/>
      </w:r>
      <w:r>
        <w:instrText xml:space="preserve"> SEQ Table \* ARABIC </w:instrText>
      </w:r>
      <w:r>
        <w:fldChar w:fldCharType="separate"/>
      </w:r>
      <w:r w:rsidR="00F8548D">
        <w:rPr>
          <w:noProof/>
        </w:rPr>
        <w:t>4</w:t>
      </w:r>
      <w:r>
        <w:rPr>
          <w:noProof/>
        </w:rPr>
        <w:fldChar w:fldCharType="end"/>
      </w:r>
      <w:bookmarkEnd w:id="17"/>
      <w:r>
        <w:t>. 2024 AIC Portfolio CPAS Goal Achievement</w:t>
      </w:r>
      <w:bookmarkEnd w:id="18"/>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tblGrid>
      <w:tr w:rsidR="004A1091" w14:paraId="6E4155EA"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26A1D81C" w14:textId="77777777" w:rsidR="004A1091" w:rsidRPr="00625570" w:rsidRDefault="004A1091" w:rsidP="002C7F49">
            <w:pPr>
              <w:pStyle w:val="TableHeadingLeft"/>
            </w:pPr>
            <w:r>
              <w:t>Metric</w:t>
            </w:r>
          </w:p>
        </w:tc>
        <w:tc>
          <w:tcPr>
            <w:tcW w:w="1644" w:type="dxa"/>
            <w:tcBorders>
              <w:left w:val="single" w:sz="4" w:space="0" w:color="4A4D56" w:themeColor="text1"/>
              <w:bottom w:val="single" w:sz="4" w:space="0" w:color="4A4D56" w:themeColor="text1"/>
              <w:right w:val="single" w:sz="4" w:space="0" w:color="4A4D56" w:themeColor="text1"/>
            </w:tcBorders>
          </w:tcPr>
          <w:p w14:paraId="29EC6DE9" w14:textId="77777777" w:rsidR="004A1091" w:rsidRPr="00625570" w:rsidRDefault="004A1091" w:rsidP="002C7F49">
            <w:pPr>
              <w:pStyle w:val="TableHeadingCentered"/>
              <w:cnfStyle w:val="100000000000" w:firstRow="1" w:lastRow="0" w:firstColumn="0" w:lastColumn="0" w:oddVBand="0" w:evenVBand="0" w:oddHBand="0" w:evenHBand="0" w:firstRowFirstColumn="0" w:firstRowLastColumn="0" w:lastRowFirstColumn="0" w:lastRowLastColumn="0"/>
            </w:pPr>
            <w:r>
              <w:t>MWh</w:t>
            </w:r>
          </w:p>
        </w:tc>
      </w:tr>
      <w:tr w:rsidR="00F5586C" w14:paraId="1E982A6A"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5B89DCC7" w14:textId="66E61380" w:rsidR="00F5586C" w:rsidRPr="00625570" w:rsidRDefault="00F5586C" w:rsidP="00F5586C">
            <w:pPr>
              <w:pStyle w:val="TableLeftText"/>
            </w:pPr>
            <w:r>
              <w:rPr>
                <w:color w:val="4A4D56"/>
              </w:rPr>
              <w:t>2024 CPAS from 2024 Portfolio</w:t>
            </w:r>
          </w:p>
        </w:tc>
        <w:tc>
          <w:tcPr>
            <w:tcW w:w="1644" w:type="dxa"/>
            <w:tcBorders>
              <w:top w:val="single" w:sz="4" w:space="0" w:color="4A4D56" w:themeColor="text1"/>
            </w:tcBorders>
          </w:tcPr>
          <w:p w14:paraId="52E7B85A" w14:textId="2386F09D" w:rsidR="00F5586C" w:rsidRPr="000B790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438,973</w:t>
            </w:r>
          </w:p>
        </w:tc>
      </w:tr>
      <w:tr w:rsidR="00F5586C" w14:paraId="501A52BA"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5F1EDCD8" w14:textId="710FBB52" w:rsidR="00F5586C" w:rsidRDefault="00F5586C" w:rsidP="00F5586C">
            <w:pPr>
              <w:pStyle w:val="TableLeftText"/>
              <w:rPr>
                <w:color w:val="4A4D56"/>
              </w:rPr>
            </w:pPr>
            <w:r>
              <w:rPr>
                <w:color w:val="4A4D56"/>
              </w:rPr>
              <w:t>2024 CPAS from 2023 Portfolio</w:t>
            </w:r>
          </w:p>
        </w:tc>
        <w:tc>
          <w:tcPr>
            <w:tcW w:w="1644" w:type="dxa"/>
            <w:tcBorders>
              <w:top w:val="single" w:sz="4" w:space="0" w:color="4A4D56" w:themeColor="text1"/>
            </w:tcBorders>
          </w:tcPr>
          <w:p w14:paraId="3E0B3C6F" w14:textId="1AD80313" w:rsidR="00F5586C"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457,158</w:t>
            </w:r>
          </w:p>
        </w:tc>
      </w:tr>
      <w:tr w:rsidR="00F5586C" w14:paraId="6506F11F"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4E9FF68E" w14:textId="0D514443" w:rsidR="00F5586C" w:rsidRPr="00625570" w:rsidRDefault="00F5586C" w:rsidP="00F5586C">
            <w:pPr>
              <w:pStyle w:val="TableLeftText"/>
            </w:pPr>
            <w:r>
              <w:rPr>
                <w:color w:val="4A4D56"/>
              </w:rPr>
              <w:t>2024 CPAS from 2022 Portfolio</w:t>
            </w:r>
          </w:p>
        </w:tc>
        <w:tc>
          <w:tcPr>
            <w:tcW w:w="1644" w:type="dxa"/>
          </w:tcPr>
          <w:p w14:paraId="69C27B74" w14:textId="02E6ABF2" w:rsidR="00F5586C" w:rsidRPr="000B790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456,685</w:t>
            </w:r>
          </w:p>
        </w:tc>
      </w:tr>
      <w:tr w:rsidR="00F5586C" w14:paraId="36369B21"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65D2640" w14:textId="699D1AFA" w:rsidR="00F5586C" w:rsidRPr="00625570" w:rsidRDefault="00F5586C" w:rsidP="00F5586C">
            <w:pPr>
              <w:pStyle w:val="TableLeftText"/>
            </w:pPr>
            <w:r>
              <w:rPr>
                <w:color w:val="4A4D56"/>
              </w:rPr>
              <w:t>2024 CPAS from 2021 Portfolio</w:t>
            </w:r>
          </w:p>
        </w:tc>
        <w:tc>
          <w:tcPr>
            <w:tcW w:w="1644" w:type="dxa"/>
          </w:tcPr>
          <w:p w14:paraId="4E9145FB" w14:textId="47FA43F7" w:rsidR="00F5586C" w:rsidRPr="000B7901"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446,329</w:t>
            </w:r>
          </w:p>
        </w:tc>
      </w:tr>
      <w:tr w:rsidR="00F5586C" w14:paraId="2D78776D"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7EA1EDF" w14:textId="266B3D91" w:rsidR="00F5586C" w:rsidRDefault="00F5586C" w:rsidP="00F5586C">
            <w:pPr>
              <w:pStyle w:val="TableLeftText"/>
            </w:pPr>
            <w:r>
              <w:rPr>
                <w:color w:val="4A4D56"/>
              </w:rPr>
              <w:t>2024 CPAS from 2020 Portfolio</w:t>
            </w:r>
          </w:p>
        </w:tc>
        <w:tc>
          <w:tcPr>
            <w:tcW w:w="1644" w:type="dxa"/>
          </w:tcPr>
          <w:p w14:paraId="1BAF41B5" w14:textId="700FB7B4" w:rsidR="00F5586C" w:rsidRPr="000B790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411,418</w:t>
            </w:r>
          </w:p>
        </w:tc>
      </w:tr>
      <w:tr w:rsidR="00F5586C" w14:paraId="52749838"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018A4CB2" w14:textId="0430DE14" w:rsidR="00F5586C" w:rsidRDefault="00F5586C" w:rsidP="00F5586C">
            <w:pPr>
              <w:pStyle w:val="TableLeftText"/>
            </w:pPr>
            <w:r>
              <w:rPr>
                <w:color w:val="4A4D56"/>
              </w:rPr>
              <w:t>2024 CPAS from 2019 Portfolio</w:t>
            </w:r>
          </w:p>
        </w:tc>
        <w:tc>
          <w:tcPr>
            <w:tcW w:w="1644" w:type="dxa"/>
          </w:tcPr>
          <w:p w14:paraId="31ACEFB4" w14:textId="42A7788D" w:rsidR="00F5586C" w:rsidRPr="000B7901"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264,586</w:t>
            </w:r>
          </w:p>
        </w:tc>
      </w:tr>
      <w:tr w:rsidR="00F5586C" w14:paraId="116EEAFE"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5E007ACA" w14:textId="0390750C" w:rsidR="00F5586C" w:rsidRDefault="00F5586C" w:rsidP="00F5586C">
            <w:pPr>
              <w:pStyle w:val="TableLeftText"/>
            </w:pPr>
            <w:r>
              <w:rPr>
                <w:color w:val="4A4D56"/>
              </w:rPr>
              <w:t>2024 CPAS from 2018 Portfolio</w:t>
            </w:r>
          </w:p>
        </w:tc>
        <w:tc>
          <w:tcPr>
            <w:tcW w:w="1644" w:type="dxa"/>
          </w:tcPr>
          <w:p w14:paraId="537382D4" w14:textId="54EF79B7" w:rsidR="00F5586C" w:rsidRPr="000B790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294,062</w:t>
            </w:r>
          </w:p>
        </w:tc>
      </w:tr>
      <w:tr w:rsidR="00F5586C" w14:paraId="656760F2"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6739BBEE" w14:textId="3614EEFD" w:rsidR="00F5586C" w:rsidRPr="00625570" w:rsidRDefault="00F5586C" w:rsidP="00F5586C">
            <w:pPr>
              <w:pStyle w:val="TableLeftText"/>
            </w:pPr>
            <w:r>
              <w:rPr>
                <w:color w:val="4A4D56"/>
              </w:rPr>
              <w:t>2024 CPAS from Legislation</w:t>
            </w:r>
          </w:p>
        </w:tc>
        <w:tc>
          <w:tcPr>
            <w:tcW w:w="1644" w:type="dxa"/>
          </w:tcPr>
          <w:p w14:paraId="2CEB995D" w14:textId="003E941D" w:rsidR="00F5586C" w:rsidRPr="000B7901"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823,834</w:t>
            </w:r>
          </w:p>
        </w:tc>
      </w:tr>
      <w:tr w:rsidR="00F5586C" w14:paraId="773CCB02"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49FF0DCA" w14:textId="462DEEA1" w:rsidR="00F5586C" w:rsidRPr="00625570" w:rsidRDefault="00F5586C" w:rsidP="00F5586C">
            <w:pPr>
              <w:pStyle w:val="TableLeftText"/>
            </w:pPr>
            <w:r>
              <w:rPr>
                <w:color w:val="4A4D56"/>
              </w:rPr>
              <w:t>2024 CPAS Achieved</w:t>
            </w:r>
          </w:p>
        </w:tc>
        <w:tc>
          <w:tcPr>
            <w:tcW w:w="1644" w:type="dxa"/>
          </w:tcPr>
          <w:p w14:paraId="58C0CB1C" w14:textId="6B286A7B" w:rsidR="00F5586C" w:rsidRPr="000B790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3,593,044</w:t>
            </w:r>
          </w:p>
        </w:tc>
      </w:tr>
      <w:tr w:rsidR="00F5586C" w14:paraId="20764A7A" w14:textId="77777777" w:rsidTr="00F5586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724503C2" w14:textId="2CBA7F5B" w:rsidR="00F5586C" w:rsidRPr="00625570" w:rsidRDefault="00F5586C" w:rsidP="00F5586C">
            <w:pPr>
              <w:pStyle w:val="TableLeftText"/>
            </w:pPr>
            <w:r>
              <w:rPr>
                <w:color w:val="4A4D56"/>
              </w:rPr>
              <w:t>2024 CPAS Goal</w:t>
            </w:r>
          </w:p>
        </w:tc>
        <w:tc>
          <w:tcPr>
            <w:tcW w:w="1644" w:type="dxa"/>
          </w:tcPr>
          <w:p w14:paraId="5CAE2961" w14:textId="7108307E" w:rsidR="00F5586C" w:rsidRPr="000B7901" w:rsidRDefault="00F5586C" w:rsidP="00F5586C">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3,310,600</w:t>
            </w:r>
          </w:p>
        </w:tc>
      </w:tr>
      <w:tr w:rsidR="00F5586C" w14:paraId="22D24A8E" w14:textId="77777777" w:rsidTr="00F5586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7513F4CC" w14:textId="495BB467" w:rsidR="00F5586C" w:rsidRPr="003901D1" w:rsidRDefault="00F5586C" w:rsidP="00F5586C">
            <w:pPr>
              <w:pStyle w:val="TableTextLeftMedium"/>
            </w:pPr>
            <w:r>
              <w:rPr>
                <w:color w:val="4A4D56"/>
                <w:szCs w:val="20"/>
              </w:rPr>
              <w:t>% of 2024 CPAS Goal Achieved</w:t>
            </w:r>
          </w:p>
        </w:tc>
        <w:tc>
          <w:tcPr>
            <w:tcW w:w="1644" w:type="dxa"/>
          </w:tcPr>
          <w:p w14:paraId="19A32515" w14:textId="3E264506" w:rsidR="00F5586C" w:rsidRPr="003901D1" w:rsidRDefault="00F5586C" w:rsidP="00F5586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109%</w:t>
            </w:r>
          </w:p>
        </w:tc>
      </w:tr>
    </w:tbl>
    <w:p w14:paraId="4836D08D" w14:textId="77777777" w:rsidR="005C27B9" w:rsidRDefault="005C27B9" w:rsidP="005C27B9">
      <w:pPr>
        <w:pStyle w:val="Heading1"/>
      </w:pPr>
      <w:bookmarkStart w:id="19" w:name="_Toc165365696"/>
      <w:bookmarkStart w:id="20" w:name="_Toc192774860"/>
      <w:r>
        <w:lastRenderedPageBreak/>
        <w:t>Evaluation Approach</w:t>
      </w:r>
      <w:bookmarkEnd w:id="19"/>
      <w:bookmarkEnd w:id="20"/>
    </w:p>
    <w:p w14:paraId="79EB9327" w14:textId="75E64A62" w:rsidR="005C27B9" w:rsidRPr="00E7018D" w:rsidRDefault="005C27B9" w:rsidP="005C27B9">
      <w:r w:rsidRPr="00E7018D">
        <w:t>The following section of the report describes the evaluation approach taken for the impact evaluation of the 202</w:t>
      </w:r>
      <w:r w:rsidR="00657D8A">
        <w:t>4</w:t>
      </w:r>
      <w:r w:rsidRPr="00E7018D">
        <w:t xml:space="preserve"> AIC portfolio. As part of the evaluation process, the evaluation team applied versions of the Illinois Energy Efficiency Policy Manual and the Illinois Technical Reference Manual (IL-TRM) applicable to the 202</w:t>
      </w:r>
      <w:r w:rsidR="00657D8A">
        <w:t>4</w:t>
      </w:r>
      <w:r w:rsidRPr="00E7018D">
        <w:t xml:space="preserve"> program year (Version</w:t>
      </w:r>
      <w:r>
        <w:t xml:space="preserve">s </w:t>
      </w:r>
      <w:r w:rsidR="00657D8A">
        <w:t>3.0</w:t>
      </w:r>
      <w:r>
        <w:t xml:space="preserve"> and 3.0,</w:t>
      </w:r>
      <w:r w:rsidRPr="00E7018D">
        <w:t xml:space="preserve"> and Version 1</w:t>
      </w:r>
      <w:r w:rsidR="00657D8A">
        <w:t>2</w:t>
      </w:r>
      <w:r w:rsidRPr="00E7018D">
        <w:t>.0 [V1</w:t>
      </w:r>
      <w:r w:rsidR="00657D8A">
        <w:t>2</w:t>
      </w:r>
      <w:r w:rsidRPr="00E7018D">
        <w:t>.0], respectively) wherever relevant.</w:t>
      </w:r>
      <w:r>
        <w:rPr>
          <w:rStyle w:val="FootnoteReference"/>
        </w:rPr>
        <w:footnoteReference w:id="3"/>
      </w:r>
    </w:p>
    <w:p w14:paraId="5D792884" w14:textId="77777777" w:rsidR="005C27B9" w:rsidRDefault="005C27B9" w:rsidP="005C27B9">
      <w:pPr>
        <w:pStyle w:val="Heading2"/>
      </w:pPr>
      <w:bookmarkStart w:id="21" w:name="_Toc165365697"/>
      <w:bookmarkStart w:id="22" w:name="_Toc192774861"/>
      <w:r>
        <w:t>Research Objectives</w:t>
      </w:r>
      <w:bookmarkEnd w:id="21"/>
      <w:bookmarkEnd w:id="22"/>
    </w:p>
    <w:p w14:paraId="0C1438C8" w14:textId="5B75AB4A" w:rsidR="005C27B9" w:rsidRDefault="005C27B9" w:rsidP="005C27B9">
      <w:r>
        <w:t xml:space="preserve">The overarching research objectives for the impact evaluation of </w:t>
      </w:r>
      <w:proofErr w:type="gramStart"/>
      <w:r>
        <w:t>AIC’s 202</w:t>
      </w:r>
      <w:r w:rsidR="00657D8A">
        <w:t>4</w:t>
      </w:r>
      <w:proofErr w:type="gramEnd"/>
      <w:r>
        <w:t xml:space="preserve"> energy efficiency programs are as follows:</w:t>
      </w:r>
    </w:p>
    <w:p w14:paraId="7ED3088D" w14:textId="77777777" w:rsidR="005C27B9" w:rsidRDefault="005C27B9" w:rsidP="005C27B9">
      <w:pPr>
        <w:pStyle w:val="ListBullet"/>
      </w:pPr>
      <w:r>
        <w:t>Estimate the estimated gross energy and demand impacts from the portfolio.</w:t>
      </w:r>
    </w:p>
    <w:p w14:paraId="00FBF666" w14:textId="77777777" w:rsidR="005C27B9" w:rsidRDefault="005C27B9" w:rsidP="005C27B9">
      <w:pPr>
        <w:pStyle w:val="ListBullet"/>
      </w:pPr>
      <w:r>
        <w:t>Estimate the net energy and demand impacts from the portfolio.</w:t>
      </w:r>
    </w:p>
    <w:p w14:paraId="5D284D31" w14:textId="0F898DC2" w:rsidR="005C27B9" w:rsidRDefault="005C27B9" w:rsidP="005C27B9">
      <w:r>
        <w:t xml:space="preserve">The evaluation team met these objectives by conducting the impact evaluation activities listed in </w:t>
      </w:r>
      <w:r>
        <w:fldChar w:fldCharType="begin"/>
      </w:r>
      <w:r>
        <w:instrText xml:space="preserve"> REF _Ref161301190 \h </w:instrText>
      </w:r>
      <w:r>
        <w:fldChar w:fldCharType="separate"/>
      </w:r>
      <w:r w:rsidR="00F8548D">
        <w:t xml:space="preserve">Table </w:t>
      </w:r>
      <w:r w:rsidR="00F8548D">
        <w:rPr>
          <w:noProof/>
        </w:rPr>
        <w:t>5</w:t>
      </w:r>
      <w:r>
        <w:fldChar w:fldCharType="end"/>
      </w:r>
      <w:r>
        <w:t>. As shown, for most initiatives, the impact evaluation primarily consisted of applying savings algorithms from the IL-TRM V1</w:t>
      </w:r>
      <w:r w:rsidR="00657D8A">
        <w:t>2</w:t>
      </w:r>
      <w:r>
        <w:t>.0 to final initiative tracking databases to estimate verified gross savings. In addition, we reviewed initiative materials and interviewed initiative managers.</w:t>
      </w:r>
    </w:p>
    <w:p w14:paraId="6E263C19" w14:textId="0520256E" w:rsidR="005C27B9" w:rsidRDefault="005C27B9" w:rsidP="005C27B9">
      <w:pPr>
        <w:pStyle w:val="Caption"/>
      </w:pPr>
      <w:bookmarkStart w:id="23" w:name="_Ref161301190"/>
      <w:bookmarkStart w:id="24" w:name="_Toc192774879"/>
      <w:r>
        <w:t xml:space="preserve">Table </w:t>
      </w:r>
      <w:r>
        <w:fldChar w:fldCharType="begin"/>
      </w:r>
      <w:r>
        <w:instrText xml:space="preserve"> SEQ Table \* ARABIC </w:instrText>
      </w:r>
      <w:r>
        <w:fldChar w:fldCharType="separate"/>
      </w:r>
      <w:r w:rsidR="00F8548D">
        <w:rPr>
          <w:noProof/>
        </w:rPr>
        <w:t>5</w:t>
      </w:r>
      <w:r>
        <w:rPr>
          <w:noProof/>
        </w:rPr>
        <w:fldChar w:fldCharType="end"/>
      </w:r>
      <w:bookmarkEnd w:id="23"/>
      <w:r>
        <w:t>. 202</w:t>
      </w:r>
      <w:r w:rsidR="00657D8A">
        <w:t>4</w:t>
      </w:r>
      <w:r>
        <w:t xml:space="preserve"> Impact Evaluation Activities</w:t>
      </w:r>
      <w:bookmarkEnd w:id="24"/>
    </w:p>
    <w:tbl>
      <w:tblPr>
        <w:tblStyle w:val="ODCBasic-1"/>
        <w:tblW w:w="0" w:type="auto"/>
        <w:tblCellMar>
          <w:top w:w="0" w:type="dxa"/>
        </w:tblCellMar>
        <w:tblLook w:val="04A0" w:firstRow="1" w:lastRow="0" w:firstColumn="1" w:lastColumn="0" w:noHBand="0" w:noVBand="1"/>
      </w:tblPr>
      <w:tblGrid>
        <w:gridCol w:w="1090"/>
        <w:gridCol w:w="2775"/>
        <w:gridCol w:w="1402"/>
        <w:gridCol w:w="1168"/>
        <w:gridCol w:w="1721"/>
        <w:gridCol w:w="1282"/>
        <w:gridCol w:w="1658"/>
      </w:tblGrid>
      <w:tr w:rsidR="005C27B9" w14:paraId="58AD7B7D" w14:textId="77777777" w:rsidTr="00435227">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1090" w:type="dxa"/>
            <w:vMerge w:val="restart"/>
            <w:tcBorders>
              <w:bottom w:val="single" w:sz="4" w:space="0" w:color="4A4D56" w:themeColor="text1"/>
              <w:right w:val="single" w:sz="4" w:space="0" w:color="4A4D56" w:themeColor="text1"/>
            </w:tcBorders>
          </w:tcPr>
          <w:p w14:paraId="4BDC7495" w14:textId="77777777" w:rsidR="005C27B9" w:rsidRPr="00625570" w:rsidRDefault="005C27B9" w:rsidP="002C7F49">
            <w:pPr>
              <w:pStyle w:val="TableHeadingLeft"/>
            </w:pPr>
            <w:r w:rsidRPr="00625570">
              <w:t>Program</w:t>
            </w:r>
          </w:p>
        </w:tc>
        <w:tc>
          <w:tcPr>
            <w:tcW w:w="2775" w:type="dxa"/>
            <w:vMerge w:val="restart"/>
            <w:tcBorders>
              <w:right w:val="single" w:sz="4" w:space="0" w:color="4A4D56" w:themeColor="text1"/>
            </w:tcBorders>
          </w:tcPr>
          <w:p w14:paraId="63714860"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Initiative</w:t>
            </w:r>
          </w:p>
        </w:tc>
        <w:tc>
          <w:tcPr>
            <w:tcW w:w="5573" w:type="dxa"/>
            <w:gridSpan w:val="4"/>
            <w:tcBorders>
              <w:left w:val="single" w:sz="4" w:space="0" w:color="4A4D56" w:themeColor="text1"/>
              <w:bottom w:val="single" w:sz="4" w:space="0" w:color="4A4D56" w:themeColor="text1"/>
              <w:right w:val="single" w:sz="4" w:space="0" w:color="4A4D56" w:themeColor="text1"/>
            </w:tcBorders>
          </w:tcPr>
          <w:p w14:paraId="0BF27953"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Gross Impacts</w:t>
            </w:r>
          </w:p>
        </w:tc>
        <w:tc>
          <w:tcPr>
            <w:tcW w:w="1658" w:type="dxa"/>
            <w:tcBorders>
              <w:left w:val="single" w:sz="4" w:space="0" w:color="4A4D56" w:themeColor="text1"/>
              <w:bottom w:val="single" w:sz="4" w:space="0" w:color="4A4D56" w:themeColor="text1"/>
            </w:tcBorders>
          </w:tcPr>
          <w:p w14:paraId="70250E96"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Net Impacts</w:t>
            </w:r>
          </w:p>
        </w:tc>
      </w:tr>
      <w:tr w:rsidR="005C27B9" w14:paraId="127EAB54" w14:textId="77777777" w:rsidTr="00435227">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090" w:type="dxa"/>
            <w:vMerge/>
            <w:tcBorders>
              <w:top w:val="single" w:sz="4" w:space="0" w:color="4A4D56" w:themeColor="text1"/>
              <w:right w:val="single" w:sz="4" w:space="0" w:color="4A4D56" w:themeColor="text1"/>
            </w:tcBorders>
          </w:tcPr>
          <w:p w14:paraId="126752F0" w14:textId="77777777" w:rsidR="005C27B9" w:rsidRPr="00625570" w:rsidRDefault="005C27B9" w:rsidP="002C7F49">
            <w:pPr>
              <w:pStyle w:val="ODTable"/>
              <w:suppressAutoHyphens/>
              <w:ind w:left="72"/>
              <w:rPr>
                <w:sz w:val="18"/>
                <w:szCs w:val="18"/>
              </w:rPr>
            </w:pPr>
          </w:p>
        </w:tc>
        <w:tc>
          <w:tcPr>
            <w:tcW w:w="2775" w:type="dxa"/>
            <w:vMerge/>
            <w:tcBorders>
              <w:right w:val="single" w:sz="4" w:space="0" w:color="4A4D56" w:themeColor="text1"/>
            </w:tcBorders>
          </w:tcPr>
          <w:p w14:paraId="20E58394" w14:textId="77777777" w:rsidR="005C27B9"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p>
        </w:tc>
        <w:tc>
          <w:tcPr>
            <w:tcW w:w="1402" w:type="dxa"/>
            <w:tcBorders>
              <w:top w:val="single" w:sz="4" w:space="0" w:color="4A4D56" w:themeColor="text1"/>
              <w:left w:val="single" w:sz="4" w:space="0" w:color="4A4D56" w:themeColor="text1"/>
              <w:right w:val="single" w:sz="4" w:space="0" w:color="4A4D56" w:themeColor="text1"/>
            </w:tcBorders>
          </w:tcPr>
          <w:p w14:paraId="1FF575B2"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rPr>
                <w:rFonts w:cs="Calibri"/>
              </w:rPr>
            </w:pPr>
            <w:r w:rsidRPr="00F659E1">
              <w:t>IL-TRM Application Review</w:t>
            </w:r>
          </w:p>
        </w:tc>
        <w:tc>
          <w:tcPr>
            <w:tcW w:w="1168" w:type="dxa"/>
            <w:tcBorders>
              <w:top w:val="single" w:sz="4" w:space="0" w:color="4A4D56" w:themeColor="text1"/>
              <w:left w:val="single" w:sz="4" w:space="0" w:color="4A4D56" w:themeColor="text1"/>
              <w:right w:val="single" w:sz="4" w:space="0" w:color="4A4D56" w:themeColor="text1"/>
            </w:tcBorders>
          </w:tcPr>
          <w:p w14:paraId="26B0F898"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F659E1">
              <w:t>Engineering Desk Reviews</w:t>
            </w:r>
          </w:p>
        </w:tc>
        <w:tc>
          <w:tcPr>
            <w:tcW w:w="1721" w:type="dxa"/>
            <w:tcBorders>
              <w:top w:val="single" w:sz="4" w:space="0" w:color="4A4D56" w:themeColor="text1"/>
              <w:left w:val="single" w:sz="4" w:space="0" w:color="4A4D56" w:themeColor="text1"/>
              <w:right w:val="single" w:sz="4" w:space="0" w:color="4A4D56" w:themeColor="text1"/>
            </w:tcBorders>
          </w:tcPr>
          <w:p w14:paraId="6E3DAB45"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F659E1">
              <w:t>On-Site Measurement and Verification (M&amp;V)</w:t>
            </w:r>
          </w:p>
        </w:tc>
        <w:tc>
          <w:tcPr>
            <w:tcW w:w="1282" w:type="dxa"/>
            <w:tcBorders>
              <w:top w:val="single" w:sz="4" w:space="0" w:color="4A4D56" w:themeColor="text1"/>
              <w:left w:val="single" w:sz="4" w:space="0" w:color="4A4D56" w:themeColor="text1"/>
              <w:right w:val="single" w:sz="4" w:space="0" w:color="4A4D56" w:themeColor="text1"/>
            </w:tcBorders>
          </w:tcPr>
          <w:p w14:paraId="4EE05DEB"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F659E1">
              <w:t>Consumption Analysis</w:t>
            </w:r>
          </w:p>
        </w:tc>
        <w:tc>
          <w:tcPr>
            <w:tcW w:w="1658" w:type="dxa"/>
            <w:tcBorders>
              <w:top w:val="single" w:sz="4" w:space="0" w:color="4A4D56" w:themeColor="text1"/>
              <w:left w:val="single" w:sz="4" w:space="0" w:color="4A4D56" w:themeColor="text1"/>
            </w:tcBorders>
          </w:tcPr>
          <w:p w14:paraId="107FD0EC"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3901D1">
              <w:t xml:space="preserve">Application </w:t>
            </w:r>
            <w:proofErr w:type="gramStart"/>
            <w:r w:rsidRPr="003901D1">
              <w:t>of</w:t>
            </w:r>
            <w:proofErr w:type="gramEnd"/>
            <w:r w:rsidRPr="003901D1">
              <w:t xml:space="preserve"> SAG-Approved NTGRs</w:t>
            </w:r>
          </w:p>
        </w:tc>
      </w:tr>
      <w:tr w:rsidR="005C27B9" w14:paraId="44C02FDA"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val="restart"/>
          </w:tcPr>
          <w:p w14:paraId="207F74D5" w14:textId="77777777" w:rsidR="005C27B9" w:rsidRPr="001C50B5" w:rsidRDefault="005C27B9" w:rsidP="002C7F49">
            <w:pPr>
              <w:pStyle w:val="TableLeftText"/>
            </w:pPr>
            <w:r>
              <w:t>Residential Program</w:t>
            </w:r>
          </w:p>
        </w:tc>
        <w:tc>
          <w:tcPr>
            <w:tcW w:w="2775" w:type="dxa"/>
          </w:tcPr>
          <w:p w14:paraId="54B1D583" w14:textId="77777777" w:rsidR="005C27B9" w:rsidRPr="00FA3A09" w:rsidRDefault="005C27B9" w:rsidP="002C7F49">
            <w:pPr>
              <w:pStyle w:val="TableCenterText"/>
              <w:jc w:val="left"/>
              <w:cnfStyle w:val="000000100000" w:firstRow="0" w:lastRow="0" w:firstColumn="0" w:lastColumn="0" w:oddVBand="0" w:evenVBand="0" w:oddHBand="1" w:evenHBand="0" w:firstRowFirstColumn="0" w:firstRowLastColumn="0" w:lastRowFirstColumn="0" w:lastRowLastColumn="0"/>
            </w:pPr>
            <w:r>
              <w:t>Retail Products Initiative</w:t>
            </w:r>
          </w:p>
        </w:tc>
        <w:tc>
          <w:tcPr>
            <w:tcW w:w="1402" w:type="dxa"/>
          </w:tcPr>
          <w:p w14:paraId="4558DD07"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DA5862">
              <w:rPr>
                <w:rFonts w:ascii="Wingdings" w:eastAsia="Wingdings" w:hAnsi="Wingdings" w:cs="Wingdings"/>
              </w:rPr>
              <w:t>ü</w:t>
            </w:r>
          </w:p>
        </w:tc>
        <w:tc>
          <w:tcPr>
            <w:tcW w:w="1168" w:type="dxa"/>
          </w:tcPr>
          <w:p w14:paraId="7D243898"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721" w:type="dxa"/>
          </w:tcPr>
          <w:p w14:paraId="719C245D"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282" w:type="dxa"/>
          </w:tcPr>
          <w:p w14:paraId="0E2BFB73"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658" w:type="dxa"/>
          </w:tcPr>
          <w:p w14:paraId="485A2166"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790F6D">
              <w:rPr>
                <w:rFonts w:ascii="Wingdings" w:eastAsia="Wingdings" w:hAnsi="Wingdings" w:cs="Wingdings"/>
              </w:rPr>
              <w:t>ü</w:t>
            </w:r>
          </w:p>
        </w:tc>
      </w:tr>
      <w:tr w:rsidR="005C27B9" w14:paraId="73A810B2"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1BF8AA52" w14:textId="77777777" w:rsidR="005C27B9" w:rsidRPr="001C50B5" w:rsidRDefault="005C27B9" w:rsidP="002C7F49">
            <w:pPr>
              <w:pStyle w:val="TableLeftText"/>
            </w:pPr>
          </w:p>
        </w:tc>
        <w:tc>
          <w:tcPr>
            <w:tcW w:w="2775" w:type="dxa"/>
          </w:tcPr>
          <w:p w14:paraId="2DAAC363" w14:textId="77777777" w:rsidR="005C27B9" w:rsidRDefault="005C27B9" w:rsidP="002C7F49">
            <w:pPr>
              <w:pStyle w:val="TableCenterText"/>
              <w:jc w:val="left"/>
              <w:cnfStyle w:val="000000010000" w:firstRow="0" w:lastRow="0" w:firstColumn="0" w:lastColumn="0" w:oddVBand="0" w:evenVBand="0" w:oddHBand="0" w:evenHBand="1" w:firstRowFirstColumn="0" w:firstRowLastColumn="0" w:lastRowFirstColumn="0" w:lastRowLastColumn="0"/>
            </w:pPr>
            <w:r>
              <w:t>Income Qualified Initiative</w:t>
            </w:r>
          </w:p>
          <w:p w14:paraId="0B167E44" w14:textId="77777777" w:rsidR="005C27B9" w:rsidRPr="00FA3A09" w:rsidRDefault="005C27B9" w:rsidP="002C7F49">
            <w:pPr>
              <w:pStyle w:val="TableCenterText"/>
              <w:jc w:val="left"/>
              <w:cnfStyle w:val="000000010000" w:firstRow="0" w:lastRow="0" w:firstColumn="0" w:lastColumn="0" w:oddVBand="0" w:evenVBand="0" w:oddHBand="0" w:evenHBand="1" w:firstRowFirstColumn="0" w:firstRowLastColumn="0" w:lastRowFirstColumn="0" w:lastRowLastColumn="0"/>
            </w:pPr>
            <w:r>
              <w:t>– Single Family Offerings</w:t>
            </w:r>
          </w:p>
        </w:tc>
        <w:tc>
          <w:tcPr>
            <w:tcW w:w="1402" w:type="dxa"/>
          </w:tcPr>
          <w:p w14:paraId="78F6AD3F"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DA5862">
              <w:rPr>
                <w:rFonts w:ascii="Wingdings" w:eastAsia="Wingdings" w:hAnsi="Wingdings" w:cs="Wingdings"/>
              </w:rPr>
              <w:t>ü</w:t>
            </w:r>
          </w:p>
        </w:tc>
        <w:tc>
          <w:tcPr>
            <w:tcW w:w="1168" w:type="dxa"/>
          </w:tcPr>
          <w:p w14:paraId="2A615315" w14:textId="542D1F80"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721" w:type="dxa"/>
          </w:tcPr>
          <w:p w14:paraId="72BD1695"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282" w:type="dxa"/>
          </w:tcPr>
          <w:p w14:paraId="5B1836AE"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rPr>
                <w:rFonts w:cs="Calibri"/>
              </w:rPr>
            </w:pPr>
          </w:p>
        </w:tc>
        <w:tc>
          <w:tcPr>
            <w:tcW w:w="1658" w:type="dxa"/>
          </w:tcPr>
          <w:p w14:paraId="4AF6A86C"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790F6D">
              <w:rPr>
                <w:rFonts w:ascii="Wingdings" w:eastAsia="Wingdings" w:hAnsi="Wingdings" w:cs="Wingdings"/>
              </w:rPr>
              <w:t>ü</w:t>
            </w:r>
          </w:p>
        </w:tc>
      </w:tr>
      <w:tr w:rsidR="005C27B9" w14:paraId="1391A053"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11957839" w14:textId="77777777" w:rsidR="005C27B9" w:rsidRPr="001C50B5" w:rsidRDefault="005C27B9" w:rsidP="002C7F49">
            <w:pPr>
              <w:pStyle w:val="TableLeftText"/>
            </w:pPr>
          </w:p>
        </w:tc>
        <w:tc>
          <w:tcPr>
            <w:tcW w:w="2775" w:type="dxa"/>
          </w:tcPr>
          <w:p w14:paraId="2E31EA6A" w14:textId="77777777" w:rsidR="005C27B9" w:rsidRPr="00FA3A09" w:rsidRDefault="005C27B9" w:rsidP="002C7F49">
            <w:pPr>
              <w:pStyle w:val="TableCenterText"/>
              <w:jc w:val="left"/>
              <w:cnfStyle w:val="000000100000" w:firstRow="0" w:lastRow="0" w:firstColumn="0" w:lastColumn="0" w:oddVBand="0" w:evenVBand="0" w:oddHBand="1" w:evenHBand="0" w:firstRowFirstColumn="0" w:firstRowLastColumn="0" w:lastRowFirstColumn="0" w:lastRowLastColumn="0"/>
            </w:pPr>
            <w:r>
              <w:t>Multifamily Initiatives</w:t>
            </w:r>
          </w:p>
        </w:tc>
        <w:tc>
          <w:tcPr>
            <w:tcW w:w="1402" w:type="dxa"/>
          </w:tcPr>
          <w:p w14:paraId="4BFAB7D4"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DA5862">
              <w:rPr>
                <w:rFonts w:ascii="Wingdings" w:eastAsia="Wingdings" w:hAnsi="Wingdings" w:cs="Wingdings"/>
              </w:rPr>
              <w:t>ü</w:t>
            </w:r>
          </w:p>
        </w:tc>
        <w:tc>
          <w:tcPr>
            <w:tcW w:w="1168" w:type="dxa"/>
          </w:tcPr>
          <w:p w14:paraId="6C6B1941"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721" w:type="dxa"/>
          </w:tcPr>
          <w:p w14:paraId="63B4B943"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282" w:type="dxa"/>
          </w:tcPr>
          <w:p w14:paraId="273439D9"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658" w:type="dxa"/>
          </w:tcPr>
          <w:p w14:paraId="199C1300"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790F6D">
              <w:rPr>
                <w:rFonts w:ascii="Wingdings" w:eastAsia="Wingdings" w:hAnsi="Wingdings" w:cs="Wingdings"/>
              </w:rPr>
              <w:t>ü</w:t>
            </w:r>
          </w:p>
        </w:tc>
      </w:tr>
      <w:tr w:rsidR="005C27B9" w14:paraId="0AF06DFE"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54C041E7" w14:textId="77777777" w:rsidR="005C27B9" w:rsidRPr="001C50B5" w:rsidRDefault="005C27B9" w:rsidP="002C7F49">
            <w:pPr>
              <w:pStyle w:val="TableLeftText"/>
            </w:pPr>
          </w:p>
        </w:tc>
        <w:tc>
          <w:tcPr>
            <w:tcW w:w="2775" w:type="dxa"/>
          </w:tcPr>
          <w:p w14:paraId="6EAD2C22" w14:textId="77777777" w:rsidR="005C27B9" w:rsidRPr="00FA3A09" w:rsidRDefault="005C27B9" w:rsidP="002C7F49">
            <w:pPr>
              <w:pStyle w:val="TableCenterText"/>
              <w:jc w:val="left"/>
              <w:cnfStyle w:val="000000010000" w:firstRow="0" w:lastRow="0" w:firstColumn="0" w:lastColumn="0" w:oddVBand="0" w:evenVBand="0" w:oddHBand="0" w:evenHBand="1" w:firstRowFirstColumn="0" w:firstRowLastColumn="0" w:lastRowFirstColumn="0" w:lastRowLastColumn="0"/>
            </w:pPr>
            <w:r>
              <w:t>Market Rate Single Family Initiative</w:t>
            </w:r>
          </w:p>
        </w:tc>
        <w:tc>
          <w:tcPr>
            <w:tcW w:w="1402" w:type="dxa"/>
          </w:tcPr>
          <w:p w14:paraId="0482FFCD"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DA5862">
              <w:rPr>
                <w:rFonts w:ascii="Wingdings" w:eastAsia="Wingdings" w:hAnsi="Wingdings" w:cs="Wingdings"/>
              </w:rPr>
              <w:t>ü</w:t>
            </w:r>
          </w:p>
        </w:tc>
        <w:tc>
          <w:tcPr>
            <w:tcW w:w="1168" w:type="dxa"/>
          </w:tcPr>
          <w:p w14:paraId="309C213B"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721" w:type="dxa"/>
          </w:tcPr>
          <w:p w14:paraId="70B3B264"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282" w:type="dxa"/>
          </w:tcPr>
          <w:p w14:paraId="38CF9DFD"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658" w:type="dxa"/>
          </w:tcPr>
          <w:p w14:paraId="0FECCFE6"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790F6D">
              <w:rPr>
                <w:rFonts w:ascii="Wingdings" w:eastAsia="Wingdings" w:hAnsi="Wingdings" w:cs="Wingdings"/>
              </w:rPr>
              <w:t>ü</w:t>
            </w:r>
          </w:p>
        </w:tc>
      </w:tr>
      <w:tr w:rsidR="005C27B9" w14:paraId="168D01F8"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44B86F08" w14:textId="77777777" w:rsidR="005C27B9" w:rsidRPr="001C50B5" w:rsidRDefault="005C27B9" w:rsidP="002C7F49">
            <w:pPr>
              <w:pStyle w:val="TableLeftText"/>
            </w:pPr>
          </w:p>
        </w:tc>
        <w:tc>
          <w:tcPr>
            <w:tcW w:w="2775" w:type="dxa"/>
          </w:tcPr>
          <w:p w14:paraId="728863DD" w14:textId="77777777" w:rsidR="005C27B9" w:rsidRPr="00FA3A09" w:rsidRDefault="005C27B9" w:rsidP="002C7F49">
            <w:pPr>
              <w:pStyle w:val="TableCenterText"/>
              <w:jc w:val="left"/>
              <w:cnfStyle w:val="000000100000" w:firstRow="0" w:lastRow="0" w:firstColumn="0" w:lastColumn="0" w:oddVBand="0" w:evenVBand="0" w:oddHBand="1" w:evenHBand="0" w:firstRowFirstColumn="0" w:firstRowLastColumn="0" w:lastRowFirstColumn="0" w:lastRowLastColumn="0"/>
            </w:pPr>
            <w:r>
              <w:t>Kits Initiatives</w:t>
            </w:r>
          </w:p>
        </w:tc>
        <w:tc>
          <w:tcPr>
            <w:tcW w:w="1402" w:type="dxa"/>
          </w:tcPr>
          <w:p w14:paraId="756C0CF1"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DA5862">
              <w:rPr>
                <w:rFonts w:ascii="Wingdings" w:eastAsia="Wingdings" w:hAnsi="Wingdings" w:cs="Wingdings"/>
              </w:rPr>
              <w:t>ü</w:t>
            </w:r>
          </w:p>
        </w:tc>
        <w:tc>
          <w:tcPr>
            <w:tcW w:w="1168" w:type="dxa"/>
          </w:tcPr>
          <w:p w14:paraId="4D397CE6"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721" w:type="dxa"/>
          </w:tcPr>
          <w:p w14:paraId="31796D6E"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282" w:type="dxa"/>
          </w:tcPr>
          <w:p w14:paraId="1A67E1B1"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p>
        </w:tc>
        <w:tc>
          <w:tcPr>
            <w:tcW w:w="1658" w:type="dxa"/>
          </w:tcPr>
          <w:p w14:paraId="1E49F6C7" w14:textId="77777777" w:rsidR="005C27B9" w:rsidRPr="00FA3A09" w:rsidRDefault="005C27B9" w:rsidP="00657D8A">
            <w:pPr>
              <w:pStyle w:val="TableCenterText"/>
              <w:cnfStyle w:val="000000100000" w:firstRow="0" w:lastRow="0" w:firstColumn="0" w:lastColumn="0" w:oddVBand="0" w:evenVBand="0" w:oddHBand="1" w:evenHBand="0" w:firstRowFirstColumn="0" w:firstRowLastColumn="0" w:lastRowFirstColumn="0" w:lastRowLastColumn="0"/>
            </w:pPr>
            <w:r w:rsidRPr="00790F6D">
              <w:rPr>
                <w:rFonts w:ascii="Wingdings" w:eastAsia="Wingdings" w:hAnsi="Wingdings" w:cs="Wingdings"/>
              </w:rPr>
              <w:t>ü</w:t>
            </w:r>
          </w:p>
        </w:tc>
      </w:tr>
      <w:tr w:rsidR="00435227" w14:paraId="3E8B9D61"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val="restart"/>
          </w:tcPr>
          <w:p w14:paraId="3A913A1F" w14:textId="77777777" w:rsidR="00435227" w:rsidRPr="001C50B5" w:rsidRDefault="00435227" w:rsidP="00435227">
            <w:pPr>
              <w:pStyle w:val="TableLeftText"/>
            </w:pPr>
            <w:r>
              <w:t>Business Program</w:t>
            </w:r>
          </w:p>
        </w:tc>
        <w:tc>
          <w:tcPr>
            <w:tcW w:w="2775" w:type="dxa"/>
          </w:tcPr>
          <w:p w14:paraId="706F857C" w14:textId="77777777" w:rsidR="00435227" w:rsidRPr="00FA3A09" w:rsidRDefault="00435227" w:rsidP="00435227">
            <w:pPr>
              <w:pStyle w:val="TableCenterText"/>
              <w:jc w:val="left"/>
              <w:cnfStyle w:val="000000010000" w:firstRow="0" w:lastRow="0" w:firstColumn="0" w:lastColumn="0" w:oddVBand="0" w:evenVBand="0" w:oddHBand="0" w:evenHBand="1" w:firstRowFirstColumn="0" w:firstRowLastColumn="0" w:lastRowFirstColumn="0" w:lastRowLastColumn="0"/>
            </w:pPr>
            <w:r>
              <w:t>Standard Initiative</w:t>
            </w:r>
          </w:p>
        </w:tc>
        <w:tc>
          <w:tcPr>
            <w:tcW w:w="1402" w:type="dxa"/>
          </w:tcPr>
          <w:p w14:paraId="0160D82B" w14:textId="2DFAF02A"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168" w:type="dxa"/>
          </w:tcPr>
          <w:p w14:paraId="7B518F4F" w14:textId="32B154AC"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721" w:type="dxa"/>
          </w:tcPr>
          <w:p w14:paraId="02F3B18E" w14:textId="7777777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282" w:type="dxa"/>
          </w:tcPr>
          <w:p w14:paraId="59EF4A29" w14:textId="7777777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658" w:type="dxa"/>
          </w:tcPr>
          <w:p w14:paraId="4BFCDBDD" w14:textId="1814D658"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r>
      <w:tr w:rsidR="00435227" w14:paraId="09FAC366"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0D2161E4" w14:textId="77777777" w:rsidR="00435227" w:rsidRPr="001C50B5" w:rsidRDefault="00435227" w:rsidP="00435227">
            <w:pPr>
              <w:pStyle w:val="TableLeftText"/>
            </w:pPr>
          </w:p>
        </w:tc>
        <w:tc>
          <w:tcPr>
            <w:tcW w:w="2775" w:type="dxa"/>
          </w:tcPr>
          <w:p w14:paraId="54B51E86" w14:textId="77777777" w:rsidR="00435227" w:rsidRPr="00FA3A09" w:rsidRDefault="00435227" w:rsidP="00435227">
            <w:pPr>
              <w:pStyle w:val="TableCenterText"/>
              <w:jc w:val="left"/>
              <w:cnfStyle w:val="000000100000" w:firstRow="0" w:lastRow="0" w:firstColumn="0" w:lastColumn="0" w:oddVBand="0" w:evenVBand="0" w:oddHBand="1" w:evenHBand="0" w:firstRowFirstColumn="0" w:firstRowLastColumn="0" w:lastRowFirstColumn="0" w:lastRowLastColumn="0"/>
            </w:pPr>
            <w:r>
              <w:t>Custom Initiative</w:t>
            </w:r>
          </w:p>
        </w:tc>
        <w:tc>
          <w:tcPr>
            <w:tcW w:w="1402" w:type="dxa"/>
          </w:tcPr>
          <w:p w14:paraId="4360EB72"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168" w:type="dxa"/>
          </w:tcPr>
          <w:p w14:paraId="78355C69" w14:textId="41F88869"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c>
          <w:tcPr>
            <w:tcW w:w="1721" w:type="dxa"/>
          </w:tcPr>
          <w:p w14:paraId="32272CD8" w14:textId="733D7E3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c>
          <w:tcPr>
            <w:tcW w:w="1282" w:type="dxa"/>
          </w:tcPr>
          <w:p w14:paraId="23F02852" w14:textId="13717359"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c>
          <w:tcPr>
            <w:tcW w:w="1658" w:type="dxa"/>
          </w:tcPr>
          <w:p w14:paraId="4F47A110" w14:textId="5EE431BF"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r>
      <w:tr w:rsidR="00435227" w14:paraId="6C065E29"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7426D8B3" w14:textId="77777777" w:rsidR="00435227" w:rsidRPr="001C50B5" w:rsidRDefault="00435227" w:rsidP="00435227">
            <w:pPr>
              <w:pStyle w:val="TableLeftText"/>
            </w:pPr>
          </w:p>
        </w:tc>
        <w:tc>
          <w:tcPr>
            <w:tcW w:w="2775" w:type="dxa"/>
          </w:tcPr>
          <w:p w14:paraId="11543128" w14:textId="77777777" w:rsidR="00435227" w:rsidRPr="00FA3A09" w:rsidRDefault="00435227" w:rsidP="00435227">
            <w:pPr>
              <w:pStyle w:val="TableCenterText"/>
              <w:jc w:val="left"/>
              <w:cnfStyle w:val="000000010000" w:firstRow="0" w:lastRow="0" w:firstColumn="0" w:lastColumn="0" w:oddVBand="0" w:evenVBand="0" w:oddHBand="0" w:evenHBand="1" w:firstRowFirstColumn="0" w:firstRowLastColumn="0" w:lastRowFirstColumn="0" w:lastRowLastColumn="0"/>
            </w:pPr>
            <w:r>
              <w:t>Retro-Commissioning Initiative</w:t>
            </w:r>
          </w:p>
        </w:tc>
        <w:tc>
          <w:tcPr>
            <w:tcW w:w="1402" w:type="dxa"/>
          </w:tcPr>
          <w:p w14:paraId="65EE952F" w14:textId="7777777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168" w:type="dxa"/>
          </w:tcPr>
          <w:p w14:paraId="0CDE1B1F" w14:textId="2B98F80B"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721" w:type="dxa"/>
          </w:tcPr>
          <w:p w14:paraId="3FC32F15" w14:textId="4575A155"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282" w:type="dxa"/>
          </w:tcPr>
          <w:p w14:paraId="3DF202A9" w14:textId="3FE4CC09"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658" w:type="dxa"/>
          </w:tcPr>
          <w:p w14:paraId="085CD28F" w14:textId="50B31D62"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r>
      <w:tr w:rsidR="00435227" w14:paraId="777729E9"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4B573D29" w14:textId="77777777" w:rsidR="00435227" w:rsidRPr="001C50B5" w:rsidRDefault="00435227" w:rsidP="00435227">
            <w:pPr>
              <w:pStyle w:val="TableLeftText"/>
            </w:pPr>
          </w:p>
        </w:tc>
        <w:tc>
          <w:tcPr>
            <w:tcW w:w="2775" w:type="dxa"/>
          </w:tcPr>
          <w:p w14:paraId="6CD227E2" w14:textId="77777777" w:rsidR="00435227" w:rsidRPr="00FA3A09" w:rsidRDefault="00435227" w:rsidP="00435227">
            <w:pPr>
              <w:pStyle w:val="TableCenterText"/>
              <w:jc w:val="left"/>
              <w:cnfStyle w:val="000000100000" w:firstRow="0" w:lastRow="0" w:firstColumn="0" w:lastColumn="0" w:oddVBand="0" w:evenVBand="0" w:oddHBand="1" w:evenHBand="0" w:firstRowFirstColumn="0" w:firstRowLastColumn="0" w:lastRowFirstColumn="0" w:lastRowLastColumn="0"/>
            </w:pPr>
            <w:r>
              <w:t>Streetlighting Initiative</w:t>
            </w:r>
          </w:p>
        </w:tc>
        <w:tc>
          <w:tcPr>
            <w:tcW w:w="1402" w:type="dxa"/>
          </w:tcPr>
          <w:p w14:paraId="5550E8B6" w14:textId="467F4AB9"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c>
          <w:tcPr>
            <w:tcW w:w="1168" w:type="dxa"/>
          </w:tcPr>
          <w:p w14:paraId="1BFC5F44"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721" w:type="dxa"/>
          </w:tcPr>
          <w:p w14:paraId="3BDF82AE"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282" w:type="dxa"/>
          </w:tcPr>
          <w:p w14:paraId="08A511ED"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658" w:type="dxa"/>
          </w:tcPr>
          <w:p w14:paraId="3FAD53DD" w14:textId="081FF6D0"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r>
      <w:tr w:rsidR="00435227" w14:paraId="7C07A96D"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318FCDAD" w14:textId="77777777" w:rsidR="00435227" w:rsidRPr="001C50B5" w:rsidRDefault="00435227" w:rsidP="00435227">
            <w:pPr>
              <w:pStyle w:val="TableLeftText"/>
            </w:pPr>
          </w:p>
        </w:tc>
        <w:tc>
          <w:tcPr>
            <w:tcW w:w="2775" w:type="dxa"/>
          </w:tcPr>
          <w:p w14:paraId="74D22D67" w14:textId="77777777" w:rsidR="00435227" w:rsidRPr="00FA3A09" w:rsidRDefault="00435227" w:rsidP="00435227">
            <w:pPr>
              <w:pStyle w:val="TableCenterText"/>
              <w:jc w:val="left"/>
              <w:cnfStyle w:val="000000010000" w:firstRow="0" w:lastRow="0" w:firstColumn="0" w:lastColumn="0" w:oddVBand="0" w:evenVBand="0" w:oddHBand="0" w:evenHBand="1" w:firstRowFirstColumn="0" w:firstRowLastColumn="0" w:lastRowFirstColumn="0" w:lastRowLastColumn="0"/>
            </w:pPr>
            <w:r>
              <w:t>Small Business Initiative</w:t>
            </w:r>
          </w:p>
        </w:tc>
        <w:tc>
          <w:tcPr>
            <w:tcW w:w="1402" w:type="dxa"/>
          </w:tcPr>
          <w:p w14:paraId="3E24B42A" w14:textId="0316000E"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c>
          <w:tcPr>
            <w:tcW w:w="1168" w:type="dxa"/>
          </w:tcPr>
          <w:p w14:paraId="212090E4" w14:textId="7E0CD38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721" w:type="dxa"/>
          </w:tcPr>
          <w:p w14:paraId="7963484D" w14:textId="7777777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282" w:type="dxa"/>
          </w:tcPr>
          <w:p w14:paraId="70D9AB21" w14:textId="77777777"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p>
        </w:tc>
        <w:tc>
          <w:tcPr>
            <w:tcW w:w="1658" w:type="dxa"/>
          </w:tcPr>
          <w:p w14:paraId="69870640" w14:textId="3FEC08C5" w:rsidR="00435227" w:rsidRPr="00FA3A09" w:rsidRDefault="00435227" w:rsidP="00435227">
            <w:pPr>
              <w:pStyle w:val="TableCenterText"/>
              <w:cnfStyle w:val="000000010000" w:firstRow="0" w:lastRow="0" w:firstColumn="0" w:lastColumn="0" w:oddVBand="0" w:evenVBand="0" w:oddHBand="0" w:evenHBand="1" w:firstRowFirstColumn="0" w:firstRowLastColumn="0" w:lastRowFirstColumn="0" w:lastRowLastColumn="0"/>
            </w:pPr>
            <w:r>
              <w:rPr>
                <w:rFonts w:ascii="Wingdings 2" w:hAnsi="Wingdings 2"/>
              </w:rPr>
              <w:t>P</w:t>
            </w:r>
          </w:p>
        </w:tc>
      </w:tr>
      <w:tr w:rsidR="00435227" w14:paraId="2465C8BB" w14:textId="77777777" w:rsidTr="0043522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90" w:type="dxa"/>
            <w:vMerge/>
          </w:tcPr>
          <w:p w14:paraId="4CFBB52E" w14:textId="77777777" w:rsidR="00435227" w:rsidRPr="001C50B5" w:rsidRDefault="00435227" w:rsidP="00435227">
            <w:pPr>
              <w:pStyle w:val="TableLeftText"/>
            </w:pPr>
          </w:p>
        </w:tc>
        <w:tc>
          <w:tcPr>
            <w:tcW w:w="2775" w:type="dxa"/>
          </w:tcPr>
          <w:p w14:paraId="6F6285D7" w14:textId="77777777" w:rsidR="00435227" w:rsidRPr="00FA3A09" w:rsidRDefault="00435227" w:rsidP="00435227">
            <w:pPr>
              <w:pStyle w:val="TableCenterText"/>
              <w:jc w:val="left"/>
              <w:cnfStyle w:val="000000100000" w:firstRow="0" w:lastRow="0" w:firstColumn="0" w:lastColumn="0" w:oddVBand="0" w:evenVBand="0" w:oddHBand="1" w:evenHBand="0" w:firstRowFirstColumn="0" w:firstRowLastColumn="0" w:lastRowFirstColumn="0" w:lastRowLastColumn="0"/>
            </w:pPr>
            <w:r>
              <w:t>Midstream Initiative</w:t>
            </w:r>
          </w:p>
        </w:tc>
        <w:tc>
          <w:tcPr>
            <w:tcW w:w="1402" w:type="dxa"/>
          </w:tcPr>
          <w:p w14:paraId="31B58B08" w14:textId="2FF47A03"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c>
          <w:tcPr>
            <w:tcW w:w="1168" w:type="dxa"/>
          </w:tcPr>
          <w:p w14:paraId="1CA38A8D"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721" w:type="dxa"/>
          </w:tcPr>
          <w:p w14:paraId="4906F221"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282" w:type="dxa"/>
          </w:tcPr>
          <w:p w14:paraId="2A83AA97" w14:textId="77777777"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p>
        </w:tc>
        <w:tc>
          <w:tcPr>
            <w:tcW w:w="1658" w:type="dxa"/>
          </w:tcPr>
          <w:p w14:paraId="18342B17" w14:textId="118416F5" w:rsidR="00435227" w:rsidRPr="00FA3A09" w:rsidRDefault="00435227" w:rsidP="00435227">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P</w:t>
            </w:r>
          </w:p>
        </w:tc>
      </w:tr>
      <w:tr w:rsidR="005C27B9" w14:paraId="7CE9BF57" w14:textId="77777777" w:rsidTr="0043522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865" w:type="dxa"/>
            <w:gridSpan w:val="2"/>
          </w:tcPr>
          <w:p w14:paraId="6FD26A53" w14:textId="77777777" w:rsidR="005C27B9" w:rsidRPr="00FA3A09" w:rsidRDefault="005C27B9" w:rsidP="002C7F49">
            <w:pPr>
              <w:pStyle w:val="TableCenterText"/>
              <w:jc w:val="left"/>
            </w:pPr>
            <w:r>
              <w:t>Voltage Optimization Program</w:t>
            </w:r>
          </w:p>
        </w:tc>
        <w:tc>
          <w:tcPr>
            <w:tcW w:w="1402" w:type="dxa"/>
          </w:tcPr>
          <w:p w14:paraId="7645DB6C"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DA5862">
              <w:rPr>
                <w:rFonts w:ascii="Wingdings" w:eastAsia="Wingdings" w:hAnsi="Wingdings" w:cs="Wingdings"/>
              </w:rPr>
              <w:t>ü</w:t>
            </w:r>
          </w:p>
        </w:tc>
        <w:tc>
          <w:tcPr>
            <w:tcW w:w="1168" w:type="dxa"/>
          </w:tcPr>
          <w:p w14:paraId="70FFC660"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721" w:type="dxa"/>
          </w:tcPr>
          <w:p w14:paraId="1F6A52BA"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p>
        </w:tc>
        <w:tc>
          <w:tcPr>
            <w:tcW w:w="1282" w:type="dxa"/>
          </w:tcPr>
          <w:p w14:paraId="4CF47B2B"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DA5862">
              <w:rPr>
                <w:rFonts w:ascii="Wingdings" w:eastAsia="Wingdings" w:hAnsi="Wingdings" w:cs="Wingdings"/>
              </w:rPr>
              <w:t>ü</w:t>
            </w:r>
          </w:p>
        </w:tc>
        <w:tc>
          <w:tcPr>
            <w:tcW w:w="1658" w:type="dxa"/>
          </w:tcPr>
          <w:p w14:paraId="5A25F30A" w14:textId="77777777" w:rsidR="005C27B9" w:rsidRPr="00FA3A09" w:rsidRDefault="005C27B9" w:rsidP="00657D8A">
            <w:pPr>
              <w:pStyle w:val="TableCenterText"/>
              <w:cnfStyle w:val="000000010000" w:firstRow="0" w:lastRow="0" w:firstColumn="0" w:lastColumn="0" w:oddVBand="0" w:evenVBand="0" w:oddHBand="0" w:evenHBand="1" w:firstRowFirstColumn="0" w:firstRowLastColumn="0" w:lastRowFirstColumn="0" w:lastRowLastColumn="0"/>
            </w:pPr>
            <w:r w:rsidRPr="00790F6D">
              <w:rPr>
                <w:rFonts w:ascii="Wingdings" w:eastAsia="Wingdings" w:hAnsi="Wingdings" w:cs="Wingdings"/>
              </w:rPr>
              <w:t>ü</w:t>
            </w:r>
          </w:p>
        </w:tc>
      </w:tr>
    </w:tbl>
    <w:p w14:paraId="2E5E5E59" w14:textId="77777777" w:rsidR="005C27B9" w:rsidRPr="00E7018D" w:rsidRDefault="005C27B9" w:rsidP="005C27B9">
      <w:pPr>
        <w:spacing w:before="120"/>
      </w:pPr>
      <w:r w:rsidRPr="00E7018D">
        <w:t xml:space="preserve">The following sections provide further </w:t>
      </w:r>
      <w:proofErr w:type="gramStart"/>
      <w:r w:rsidRPr="00E7018D">
        <w:t>detail</w:t>
      </w:r>
      <w:proofErr w:type="gramEnd"/>
      <w:r w:rsidRPr="00E7018D">
        <w:t xml:space="preserve"> on the verified gross and net impact evaluation activities.</w:t>
      </w:r>
    </w:p>
    <w:p w14:paraId="75564BFA" w14:textId="77777777" w:rsidR="005C27B9" w:rsidRDefault="005C27B9" w:rsidP="005C27B9">
      <w:pPr>
        <w:pStyle w:val="Heading2"/>
      </w:pPr>
      <w:bookmarkStart w:id="25" w:name="_Toc165365698"/>
      <w:bookmarkStart w:id="26" w:name="_Toc192774862"/>
      <w:r>
        <w:lastRenderedPageBreak/>
        <w:t>Verified Gross Impact Analysis Approach</w:t>
      </w:r>
      <w:bookmarkEnd w:id="25"/>
      <w:bookmarkEnd w:id="26"/>
    </w:p>
    <w:p w14:paraId="0AADB940" w14:textId="15BB2173" w:rsidR="005C27B9" w:rsidRDefault="005C27B9" w:rsidP="005C27B9">
      <w:pPr>
        <w:pStyle w:val="Heading3"/>
      </w:pPr>
      <w:r>
        <w:t xml:space="preserve">Application </w:t>
      </w:r>
      <w:proofErr w:type="gramStart"/>
      <w:r>
        <w:t>of</w:t>
      </w:r>
      <w:proofErr w:type="gramEnd"/>
      <w:r>
        <w:t xml:space="preserve"> IL-TRM V1</w:t>
      </w:r>
      <w:r w:rsidR="00657D8A">
        <w:t>2</w:t>
      </w:r>
      <w:r>
        <w:t>.0</w:t>
      </w:r>
    </w:p>
    <w:p w14:paraId="45A87071" w14:textId="7CBA8483" w:rsidR="005C27B9" w:rsidRPr="006720C2" w:rsidRDefault="005C27B9" w:rsidP="005C27B9">
      <w:r w:rsidRPr="00C473CE">
        <w:t xml:space="preserve">To determine verified gross impacts associated with </w:t>
      </w:r>
      <w:proofErr w:type="gramStart"/>
      <w:r w:rsidRPr="00C473CE">
        <w:t>the majority of</w:t>
      </w:r>
      <w:proofErr w:type="gramEnd"/>
      <w:r w:rsidRPr="00C473CE">
        <w:t xml:space="preserve"> the measures delivered through the 202</w:t>
      </w:r>
      <w:r w:rsidR="00657D8A">
        <w:t>4</w:t>
      </w:r>
      <w:r w:rsidRPr="00C473CE">
        <w:t xml:space="preserve"> AIC portfolio, we reviewed the content of the initiative tracking database to identify database errors and duplicate records, and to ensure that the implementer correctly applied savings algorithms and assumptions stated in the IL-TRM V1</w:t>
      </w:r>
      <w:r w:rsidR="00657D8A">
        <w:t>2</w:t>
      </w:r>
      <w:r w:rsidRPr="00C473CE">
        <w:t>.0 and the IL-TRM V1</w:t>
      </w:r>
      <w:r w:rsidR="00657D8A">
        <w:t>2</w:t>
      </w:r>
      <w:r w:rsidRPr="00C473CE">
        <w:t xml:space="preserve">.0 errata document. </w:t>
      </w:r>
      <w:proofErr w:type="gramStart"/>
      <w:r w:rsidRPr="00C473CE">
        <w:t>In particular, we</w:t>
      </w:r>
      <w:proofErr w:type="gramEnd"/>
      <w:r w:rsidRPr="00C473CE">
        <w:t xml:space="preserve"> applied the algorithms and assumptions provided in the IL-TRM V1</w:t>
      </w:r>
      <w:r w:rsidR="00657D8A">
        <w:t>2</w:t>
      </w:r>
      <w:r w:rsidRPr="00C473CE">
        <w:t>.0, while using project-specific data from the initiative tracking databases as inputs where appropriate. As part of this process, we also verified measure installations through analysis of initiative tracking databases, as well as through the review of supporting project documentation.</w:t>
      </w:r>
    </w:p>
    <w:p w14:paraId="69EE6E9F" w14:textId="77777777" w:rsidR="005C27B9" w:rsidRDefault="005C27B9" w:rsidP="005C27B9">
      <w:pPr>
        <w:pStyle w:val="Heading3"/>
      </w:pPr>
      <w:r>
        <w:t>Application of Custom Impact Methods</w:t>
      </w:r>
    </w:p>
    <w:p w14:paraId="7B16C637" w14:textId="6D836B0A" w:rsidR="005C27B9" w:rsidRDefault="005C27B9" w:rsidP="005C27B9">
      <w:r w:rsidRPr="005B0522">
        <w:t>The Custom and RCx initiatives</w:t>
      </w:r>
      <w:r>
        <w:t xml:space="preserve"> and </w:t>
      </w:r>
      <w:r w:rsidRPr="005B0522">
        <w:t>a small number of Standard Initiative measures are not suitable for gross impact analysis solely using the IL-TRM. These initiatives require custom energy savings calculations to determine some or all gross impacts.  Further details on the custom impact methods applied for these initiatives are presented in th</w:t>
      </w:r>
      <w:r w:rsidRPr="006720C2">
        <w:t xml:space="preserve">e </w:t>
      </w:r>
      <w:r w:rsidRPr="006720C2">
        <w:rPr>
          <w:i/>
          <w:iCs/>
        </w:rPr>
        <w:t>202</w:t>
      </w:r>
      <w:r w:rsidR="00657D8A">
        <w:rPr>
          <w:i/>
          <w:iCs/>
        </w:rPr>
        <w:t>4</w:t>
      </w:r>
      <w:r w:rsidRPr="006720C2">
        <w:rPr>
          <w:i/>
          <w:iCs/>
        </w:rPr>
        <w:t xml:space="preserve"> AIC Business Program Annual Impact Evaluation Report</w:t>
      </w:r>
      <w:r w:rsidRPr="005B0522">
        <w:t>.</w:t>
      </w:r>
    </w:p>
    <w:p w14:paraId="33BF20DF" w14:textId="77777777" w:rsidR="005C27B9" w:rsidRDefault="005C27B9" w:rsidP="005C27B9">
      <w:pPr>
        <w:pStyle w:val="Heading3"/>
      </w:pPr>
      <w:r>
        <w:t>Carryover Savings</w:t>
      </w:r>
    </w:p>
    <w:p w14:paraId="465CCC46" w14:textId="0C624A7F" w:rsidR="005C27B9" w:rsidRPr="005B0522" w:rsidRDefault="005C27B9" w:rsidP="005C27B9">
      <w:r w:rsidRPr="005B0522">
        <w:t>In addition to savings achieved by AIC’s portfolio through measures delivered during the 202</w:t>
      </w:r>
      <w:r w:rsidR="00657D8A">
        <w:t>4</w:t>
      </w:r>
      <w:r w:rsidRPr="005B0522">
        <w:t xml:space="preserve"> program year, AIC also claimed savings in 202</w:t>
      </w:r>
      <w:r w:rsidR="00657D8A">
        <w:t>4</w:t>
      </w:r>
      <w:r w:rsidRPr="005B0522">
        <w:t xml:space="preserve"> from lighting measures distributed by the portfolio in prior years but not installed until 202</w:t>
      </w:r>
      <w:r w:rsidR="00657D8A">
        <w:t>4</w:t>
      </w:r>
      <w:r w:rsidRPr="005B0522">
        <w:t>. The relevant initiatives include:</w:t>
      </w:r>
    </w:p>
    <w:p w14:paraId="71157B49" w14:textId="77777777" w:rsidR="005C27B9" w:rsidRPr="005B0522" w:rsidRDefault="005C27B9" w:rsidP="005C27B9">
      <w:pPr>
        <w:pStyle w:val="ListBullet"/>
      </w:pPr>
      <w:r w:rsidRPr="005B0522">
        <w:t>Residential Program</w:t>
      </w:r>
    </w:p>
    <w:p w14:paraId="602781E6" w14:textId="31D0AC3A" w:rsidR="005C27B9" w:rsidRPr="005B0522" w:rsidRDefault="005C27B9" w:rsidP="005C27B9">
      <w:pPr>
        <w:pStyle w:val="ListBullet2"/>
      </w:pPr>
      <w:r w:rsidRPr="005B0522">
        <w:t>202</w:t>
      </w:r>
      <w:r>
        <w:t>2</w:t>
      </w:r>
      <w:r w:rsidRPr="005B0522">
        <w:t xml:space="preserve"> Retail Products Initiative</w:t>
      </w:r>
    </w:p>
    <w:p w14:paraId="66AF416C" w14:textId="2D6BE87D" w:rsidR="005C27B9" w:rsidRDefault="005C27B9" w:rsidP="005C27B9">
      <w:pPr>
        <w:pStyle w:val="ListBullet2"/>
      </w:pPr>
      <w:r>
        <w:t>2022 Income Qualified Initiative</w:t>
      </w:r>
    </w:p>
    <w:p w14:paraId="6C6DC983" w14:textId="1FC2DED3" w:rsidR="005C27B9" w:rsidRDefault="005C27B9" w:rsidP="005C27B9">
      <w:pPr>
        <w:pStyle w:val="ListBullet2"/>
      </w:pPr>
      <w:r>
        <w:t>2022 Kits Initiatives</w:t>
      </w:r>
    </w:p>
    <w:p w14:paraId="4AD89B67" w14:textId="77777777" w:rsidR="005C27B9" w:rsidRPr="005B0522" w:rsidRDefault="005C27B9" w:rsidP="005C27B9">
      <w:pPr>
        <w:pStyle w:val="ListBullet"/>
      </w:pPr>
      <w:r w:rsidRPr="005B0522">
        <w:t>Business Program</w:t>
      </w:r>
    </w:p>
    <w:p w14:paraId="72CE9F26" w14:textId="44731554" w:rsidR="005C27B9" w:rsidRPr="005B0522" w:rsidRDefault="005C27B9" w:rsidP="005C27B9">
      <w:pPr>
        <w:pStyle w:val="ListBullet2"/>
      </w:pPr>
      <w:r w:rsidRPr="005B0522">
        <w:t>202</w:t>
      </w:r>
      <w:r>
        <w:t>2</w:t>
      </w:r>
      <w:r w:rsidR="00657D8A">
        <w:t xml:space="preserve"> and 2023</w:t>
      </w:r>
      <w:r w:rsidRPr="005B0522">
        <w:t xml:space="preserve"> </w:t>
      </w:r>
      <w:r>
        <w:t>Midstream Initiative</w:t>
      </w:r>
    </w:p>
    <w:p w14:paraId="791404EB" w14:textId="5C6A2291" w:rsidR="00435227" w:rsidRPr="00435227" w:rsidRDefault="00435227" w:rsidP="00435227">
      <w:bookmarkStart w:id="27" w:name="_Hlk161300961"/>
      <w:r w:rsidRPr="00435227">
        <w:t>Carryover savings are estimated primarily based on assumptions outlined in the IL-TRM V12.0, which recommends application of assumptions from the IL-TRM V10.0 and IL-TRM V10.0 errata measures memo.</w:t>
      </w:r>
      <w:r w:rsidRPr="00435227">
        <w:rPr>
          <w:vertAlign w:val="superscript"/>
        </w:rPr>
        <w:footnoteReference w:id="4"/>
      </w:r>
      <w:r w:rsidRPr="00435227">
        <w:t xml:space="preserve"> We reported previously on AIC’s 2024 carryover savings as part of an earlier memo.</w:t>
      </w:r>
      <w:r w:rsidRPr="00435227">
        <w:rPr>
          <w:vertAlign w:val="superscript"/>
        </w:rPr>
        <w:footnoteReference w:id="5"/>
      </w:r>
      <w:r w:rsidRPr="00435227">
        <w:t xml:space="preserve"> </w:t>
      </w:r>
    </w:p>
    <w:p w14:paraId="33F9CDF2" w14:textId="77777777" w:rsidR="00435227" w:rsidRPr="003D1459" w:rsidRDefault="00435227" w:rsidP="005C27B9"/>
    <w:p w14:paraId="04FEE0CA" w14:textId="77777777" w:rsidR="005C27B9" w:rsidRDefault="005C27B9" w:rsidP="005C27B9">
      <w:pPr>
        <w:pStyle w:val="Heading2"/>
      </w:pPr>
      <w:bookmarkStart w:id="28" w:name="_Toc165365699"/>
      <w:bookmarkStart w:id="29" w:name="_Toc192774863"/>
      <w:bookmarkEnd w:id="27"/>
      <w:r>
        <w:lastRenderedPageBreak/>
        <w:t>Verified Net Impact Analysis Approach</w:t>
      </w:r>
      <w:bookmarkEnd w:id="28"/>
      <w:bookmarkEnd w:id="29"/>
    </w:p>
    <w:p w14:paraId="4DD8360F" w14:textId="77777777" w:rsidR="00AC0D56" w:rsidRDefault="005C27B9" w:rsidP="00AC0D56">
      <w:r w:rsidRPr="00837291">
        <w:t>To determine verified net savings for the 202</w:t>
      </w:r>
      <w:r w:rsidR="00657D8A">
        <w:t>4</w:t>
      </w:r>
      <w:r w:rsidRPr="00837291">
        <w:t xml:space="preserve"> </w:t>
      </w:r>
      <w:r>
        <w:t>AIC portfolio</w:t>
      </w:r>
      <w:r w:rsidRPr="00837291">
        <w:t xml:space="preserve">, we </w:t>
      </w:r>
      <w:r w:rsidR="00AC0D56">
        <w:t xml:space="preserve">generally </w:t>
      </w:r>
      <w:r w:rsidRPr="00837291">
        <w:t>applied SAG-approved NTGRs</w:t>
      </w:r>
      <w:r>
        <w:rPr>
          <w:rStyle w:val="FootnoteReference"/>
        </w:rPr>
        <w:footnoteReference w:id="6"/>
      </w:r>
      <w:r w:rsidRPr="00837291">
        <w:t xml:space="preserve"> to </w:t>
      </w:r>
      <w:proofErr w:type="gramStart"/>
      <w:r w:rsidRPr="00837291">
        <w:t>verified</w:t>
      </w:r>
      <w:proofErr w:type="gramEnd"/>
      <w:r w:rsidRPr="00837291">
        <w:t xml:space="preserve"> gross savings</w:t>
      </w:r>
      <w:r w:rsidR="00AC0D56">
        <w:t>, with three exceptions:</w:t>
      </w:r>
    </w:p>
    <w:p w14:paraId="793F11A7" w14:textId="103A32AB" w:rsidR="00AC0D56" w:rsidRDefault="00AC0D56" w:rsidP="00AC0D56">
      <w:pPr>
        <w:pStyle w:val="ListBullet"/>
      </w:pPr>
      <w:r w:rsidRPr="00AC0D56">
        <w:t>For the Market Rate Single Family Initiative’s Midstream HVAC channel, we estimated net savings associated with market effects resulting from channel influences on sales of non-incentivized energy-efficient equipment, which relied on supplementary distributor sales data and primary research with distributors and contractors, as detailed in</w:t>
      </w:r>
      <w:r w:rsidR="00435227">
        <w:t xml:space="preserve"> the </w:t>
      </w:r>
      <w:r w:rsidR="00435227" w:rsidRPr="006720C2">
        <w:rPr>
          <w:i/>
          <w:iCs/>
        </w:rPr>
        <w:t>202</w:t>
      </w:r>
      <w:r w:rsidR="00435227">
        <w:rPr>
          <w:i/>
          <w:iCs/>
        </w:rPr>
        <w:t>4</w:t>
      </w:r>
      <w:r w:rsidR="00435227" w:rsidRPr="006720C2">
        <w:rPr>
          <w:i/>
          <w:iCs/>
        </w:rPr>
        <w:t xml:space="preserve"> AIC </w:t>
      </w:r>
      <w:r w:rsidR="00435227">
        <w:rPr>
          <w:i/>
          <w:iCs/>
        </w:rPr>
        <w:t>Residential</w:t>
      </w:r>
      <w:r w:rsidR="00435227" w:rsidRPr="006720C2">
        <w:rPr>
          <w:i/>
          <w:iCs/>
        </w:rPr>
        <w:t xml:space="preserve"> Program Annual Impact Evaluation Report</w:t>
      </w:r>
      <w:r w:rsidR="00435227" w:rsidRPr="005B0522">
        <w:t>.</w:t>
      </w:r>
    </w:p>
    <w:p w14:paraId="2CE8B314" w14:textId="6DA9FA20" w:rsidR="00AC0D56" w:rsidRDefault="00AC0D56" w:rsidP="00AC0D56">
      <w:pPr>
        <w:pStyle w:val="ListBullet"/>
      </w:pPr>
      <w:r>
        <w:t xml:space="preserve">As detailed in Section </w:t>
      </w:r>
      <w:r>
        <w:fldChar w:fldCharType="begin"/>
      </w:r>
      <w:r>
        <w:instrText xml:space="preserve"> REF _Ref192751258 \r \h </w:instrText>
      </w:r>
      <w:r>
        <w:fldChar w:fldCharType="separate"/>
      </w:r>
      <w:r w:rsidR="00F8548D">
        <w:t>2.3.1</w:t>
      </w:r>
      <w:r>
        <w:fldChar w:fldCharType="end"/>
      </w:r>
      <w:r>
        <w:t xml:space="preserve"> below, in certain cases, we </w:t>
      </w:r>
      <w:proofErr w:type="gramStart"/>
      <w:r>
        <w:t>applied</w:t>
      </w:r>
      <w:proofErr w:type="gramEnd"/>
      <w:r>
        <w:t xml:space="preserve"> NTGRs of 1.000 superseding the SAG-approved NTGRs in alignment with the Illinois Policy Manual Version 3.0.</w:t>
      </w:r>
    </w:p>
    <w:p w14:paraId="44858159" w14:textId="317F2EC4" w:rsidR="00AC0D56" w:rsidRPr="00AC0D56" w:rsidRDefault="00AC0D56" w:rsidP="00AC0D56">
      <w:pPr>
        <w:pStyle w:val="ListBullet"/>
      </w:pPr>
      <w:r>
        <w:t xml:space="preserve">Finally, net impact evaluation for the 2024 AIC Residential Program included a non-participant spillover (NPSO) </w:t>
      </w:r>
      <w:proofErr w:type="gramStart"/>
      <w:r>
        <w:t>adder</w:t>
      </w:r>
      <w:proofErr w:type="gramEnd"/>
      <w:r>
        <w:t xml:space="preserve"> to net savings, detailed in Section </w:t>
      </w:r>
      <w:r>
        <w:fldChar w:fldCharType="begin"/>
      </w:r>
      <w:r>
        <w:instrText xml:space="preserve"> REF _Ref161300420 \r \h </w:instrText>
      </w:r>
      <w:r>
        <w:fldChar w:fldCharType="separate"/>
      </w:r>
      <w:r w:rsidR="00F8548D">
        <w:t>2.3.2</w:t>
      </w:r>
      <w:r>
        <w:fldChar w:fldCharType="end"/>
      </w:r>
      <w:r>
        <w:t>.</w:t>
      </w:r>
    </w:p>
    <w:p w14:paraId="26108A39" w14:textId="77777777" w:rsidR="00AC0D56" w:rsidRPr="00AC0D56" w:rsidRDefault="00AC0D56" w:rsidP="00AC0D56">
      <w:pPr>
        <w:pStyle w:val="Heading3"/>
      </w:pPr>
      <w:bookmarkStart w:id="30" w:name="_Ref192751258"/>
      <w:r w:rsidRPr="00AC0D56">
        <w:t>Disadvantaged Areas Net-to-Gross Policy</w:t>
      </w:r>
      <w:bookmarkEnd w:id="30"/>
    </w:p>
    <w:p w14:paraId="63937C0E" w14:textId="77777777" w:rsidR="00AC0D56" w:rsidRPr="00AC0D56" w:rsidRDefault="00AC0D56" w:rsidP="00AC0D56">
      <w:r w:rsidRPr="00AC0D56">
        <w:t>Section 7.4 of the Illinois Policy Manual Version 3.0 outlines the NTGR for Disadvantaged Areas policy.</w:t>
      </w:r>
      <w:r w:rsidRPr="00AC0D56">
        <w:rPr>
          <w:vertAlign w:val="superscript"/>
        </w:rPr>
        <w:footnoteReference w:id="7"/>
      </w:r>
      <w:r w:rsidRPr="00AC0D56">
        <w:t xml:space="preserve"> The policy recognizes that free ridership among certain types of customers in economically disadvantaged areas is likely very low; therefore, it directs the application of a NTGR of 1.000 for eligible customers, superseding the SAG-approved NTGRs that would otherwise be applied.</w:t>
      </w:r>
    </w:p>
    <w:p w14:paraId="2A105681" w14:textId="2FF3CD2D" w:rsidR="00AC0D56" w:rsidRDefault="00AC0D56" w:rsidP="00AC0D56">
      <w:pPr>
        <w:pStyle w:val="ListBullet"/>
      </w:pPr>
      <w:r w:rsidRPr="00AC0D56">
        <w:t>For AIC’s Residential Program, the policy applies to program activity in disadvantaged neighborhoods.</w:t>
      </w:r>
      <w:r>
        <w:rPr>
          <w:rStyle w:val="FootnoteReference"/>
        </w:rPr>
        <w:footnoteReference w:id="8"/>
      </w:r>
      <w:r w:rsidRPr="00AC0D56">
        <w:t xml:space="preserve"> A large portion of the Residential Program focuses on serving low-income customers and therefore already uses a NTGR of 1.000 in accordance with Policy Manual Section 7.3 (NTGR for Income Eligible Programs).</w:t>
      </w:r>
      <w:r w:rsidRPr="00AC0D56">
        <w:rPr>
          <w:vertAlign w:val="superscript"/>
        </w:rPr>
        <w:footnoteReference w:id="9"/>
      </w:r>
      <w:r w:rsidRPr="00AC0D56">
        <w:t xml:space="preserve"> </w:t>
      </w:r>
      <w:r>
        <w:t>W</w:t>
      </w:r>
      <w:r w:rsidRPr="00AC0D56">
        <w:t>e do not apply the policy to the Retail Products Initiative because the approach used to establish the portion of Retail Products measures delivered to IQ customers overlaps significantly with the policy.</w:t>
      </w:r>
      <w:bookmarkStart w:id="31" w:name="_Hlk192071011"/>
    </w:p>
    <w:p w14:paraId="29103D67" w14:textId="59DDB908" w:rsidR="00AC0D56" w:rsidRDefault="00AC0D56" w:rsidP="00AC0D56">
      <w:pPr>
        <w:pStyle w:val="ListBullet"/>
      </w:pPr>
      <w:r>
        <w:t>For AIC’s Business Program, the policy applies to all program activity involving the following customer segments:</w:t>
      </w:r>
    </w:p>
    <w:p w14:paraId="6F104E97" w14:textId="58D21FAA" w:rsidR="00AC0D56" w:rsidRDefault="00AC0D56" w:rsidP="00AC0D56">
      <w:pPr>
        <w:pStyle w:val="ListBullet2"/>
      </w:pPr>
      <w:r>
        <w:t>Business customers in disadvantaged neighborhoods with DS-2 and/or GDS-2 rate classes; and</w:t>
      </w:r>
    </w:p>
    <w:p w14:paraId="5FA3DD35" w14:textId="2A6947B2" w:rsidR="00AC0D56" w:rsidRDefault="00AC0D56" w:rsidP="00AC0D56">
      <w:pPr>
        <w:pStyle w:val="ListBullet2"/>
      </w:pPr>
      <w:r>
        <w:t>Any general delivery service municipal, public school, and local government customers in a disadvantaged municipality.</w:t>
      </w:r>
      <w:r>
        <w:rPr>
          <w:rStyle w:val="FootnoteReference"/>
        </w:rPr>
        <w:footnoteReference w:id="10"/>
      </w:r>
    </w:p>
    <w:bookmarkEnd w:id="31"/>
    <w:p w14:paraId="3EF0A41A" w14:textId="1633623B" w:rsidR="00AC0D56" w:rsidRPr="00AC0D56" w:rsidRDefault="00AC0D56" w:rsidP="00AC0D56">
      <w:r w:rsidRPr="00AC0D56">
        <w:t>Further details on our approach to applying the policy</w:t>
      </w:r>
      <w:r>
        <w:t xml:space="preserve">, </w:t>
      </w:r>
      <w:r w:rsidRPr="00AC0D56">
        <w:t>a list of disadvantaged neighborhoods</w:t>
      </w:r>
      <w:r>
        <w:t>, and a list of disadvantaged municipalities</w:t>
      </w:r>
      <w:r w:rsidRPr="00AC0D56">
        <w:t xml:space="preserve"> are available for reference in Opinion Dynamics’ July 2024 presentation to the Illinois SAG.</w:t>
      </w:r>
      <w:r w:rsidRPr="00AC0D56">
        <w:rPr>
          <w:vertAlign w:val="superscript"/>
        </w:rPr>
        <w:footnoteReference w:id="11"/>
      </w:r>
    </w:p>
    <w:p w14:paraId="11DE442F" w14:textId="77777777" w:rsidR="005C27B9" w:rsidRDefault="005C27B9" w:rsidP="005C27B9">
      <w:pPr>
        <w:pStyle w:val="Heading3"/>
      </w:pPr>
      <w:bookmarkStart w:id="32" w:name="_Ref161300420"/>
      <w:r>
        <w:lastRenderedPageBreak/>
        <w:t>Residential Non-Participant Spillover</w:t>
      </w:r>
      <w:bookmarkEnd w:id="32"/>
    </w:p>
    <w:p w14:paraId="16EA77CC" w14:textId="608FAC43" w:rsidR="005C27B9" w:rsidRDefault="005C27B9" w:rsidP="005C27B9">
      <w:r w:rsidRPr="003868BC">
        <w:t>Net impact evaluation of AIC’s Residential Program includes a</w:t>
      </w:r>
      <w:r w:rsidR="00AC0D56">
        <w:t xml:space="preserve"> NPSO </w:t>
      </w:r>
      <w:r w:rsidRPr="003868BC">
        <w:t xml:space="preserve">adder </w:t>
      </w:r>
      <w:r>
        <w:t>to</w:t>
      </w:r>
      <w:r w:rsidRPr="003868BC">
        <w:t xml:space="preserve"> net savings achieved by non-income qualified (non-IQ) efforts. This NPSO adder is 3.1% for non-IQ electric savings (energy and demand) and 4.4% for non-IQ gas savings.</w:t>
      </w:r>
      <w:r>
        <w:rPr>
          <w:rStyle w:val="FootnoteReference"/>
        </w:rPr>
        <w:footnoteReference w:id="12"/>
      </w:r>
      <w:r w:rsidRPr="003868BC">
        <w:t xml:space="preserve"> </w:t>
      </w:r>
      <w:r>
        <w:fldChar w:fldCharType="begin"/>
      </w:r>
      <w:r>
        <w:instrText xml:space="preserve"> REF _Ref156218313 \h </w:instrText>
      </w:r>
      <w:r>
        <w:fldChar w:fldCharType="separate"/>
      </w:r>
      <w:r w:rsidR="00F8548D">
        <w:t xml:space="preserve">Table </w:t>
      </w:r>
      <w:r w:rsidR="00F8548D">
        <w:rPr>
          <w:noProof/>
        </w:rPr>
        <w:t>6</w:t>
      </w:r>
      <w:r>
        <w:fldChar w:fldCharType="end"/>
      </w:r>
      <w:r>
        <w:t xml:space="preserve"> </w:t>
      </w:r>
      <w:r w:rsidRPr="003868BC">
        <w:t>summarizes verified, non-IQ net savings for AIC’s Residential Program by initiative and computes the NPSO adder as defined above.</w:t>
      </w:r>
    </w:p>
    <w:p w14:paraId="3C0293D8" w14:textId="47A4285D" w:rsidR="005C27B9" w:rsidRDefault="005C27B9" w:rsidP="005C27B9">
      <w:pPr>
        <w:pStyle w:val="Caption"/>
      </w:pPr>
      <w:bookmarkStart w:id="33" w:name="_Ref156218313"/>
      <w:bookmarkStart w:id="34" w:name="_Toc156240736"/>
      <w:bookmarkStart w:id="35" w:name="_Toc161260992"/>
      <w:bookmarkStart w:id="36" w:name="_Toc192774880"/>
      <w:r>
        <w:t xml:space="preserve">Table </w:t>
      </w:r>
      <w:r>
        <w:fldChar w:fldCharType="begin"/>
      </w:r>
      <w:r>
        <w:instrText xml:space="preserve"> SEQ Table \* ARABIC </w:instrText>
      </w:r>
      <w:r>
        <w:fldChar w:fldCharType="separate"/>
      </w:r>
      <w:r w:rsidR="00F8548D">
        <w:rPr>
          <w:noProof/>
        </w:rPr>
        <w:t>6</w:t>
      </w:r>
      <w:r>
        <w:rPr>
          <w:noProof/>
        </w:rPr>
        <w:fldChar w:fldCharType="end"/>
      </w:r>
      <w:bookmarkEnd w:id="33"/>
      <w:r>
        <w:t>. 202</w:t>
      </w:r>
      <w:r w:rsidR="00657D8A">
        <w:t>4</w:t>
      </w:r>
      <w:r>
        <w:t xml:space="preserve"> Residential Program Verified Net Savings Summary for Non-Income Qualified Initiatives</w:t>
      </w:r>
      <w:bookmarkEnd w:id="34"/>
      <w:bookmarkEnd w:id="35"/>
      <w:bookmarkEnd w:id="36"/>
    </w:p>
    <w:tbl>
      <w:tblPr>
        <w:tblStyle w:val="ODCBasic-1"/>
        <w:tblW w:w="0" w:type="auto"/>
        <w:tblCellMar>
          <w:top w:w="0" w:type="dxa"/>
          <w:bottom w:w="14" w:type="dxa"/>
        </w:tblCellMar>
        <w:tblLook w:val="04A0" w:firstRow="1" w:lastRow="0" w:firstColumn="1" w:lastColumn="0" w:noHBand="0" w:noVBand="1"/>
      </w:tblPr>
      <w:tblGrid>
        <w:gridCol w:w="3984"/>
        <w:gridCol w:w="1642"/>
        <w:gridCol w:w="1534"/>
        <w:gridCol w:w="1838"/>
      </w:tblGrid>
      <w:tr w:rsidR="005C27B9" w14:paraId="6CB852D3"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4A4D56" w:themeColor="text1"/>
              <w:right w:val="single" w:sz="4" w:space="0" w:color="4A4D56" w:themeColor="text1"/>
            </w:tcBorders>
          </w:tcPr>
          <w:p w14:paraId="49EE8AED" w14:textId="77777777" w:rsidR="005C27B9" w:rsidRPr="00625570" w:rsidRDefault="005C27B9" w:rsidP="002C7F49">
            <w:pPr>
              <w:pStyle w:val="TableHeadingLeft"/>
            </w:pPr>
            <w:r>
              <w:t>Initiative/Channel</w:t>
            </w:r>
          </w:p>
        </w:tc>
        <w:tc>
          <w:tcPr>
            <w:tcW w:w="0" w:type="auto"/>
            <w:tcBorders>
              <w:left w:val="single" w:sz="4" w:space="0" w:color="4A4D56" w:themeColor="text1"/>
              <w:bottom w:val="single" w:sz="4" w:space="0" w:color="4A4D56" w:themeColor="text1"/>
              <w:right w:val="single" w:sz="4" w:space="0" w:color="4A4D56" w:themeColor="text1"/>
            </w:tcBorders>
          </w:tcPr>
          <w:p w14:paraId="5F548E8C"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Net MWh</w:t>
            </w:r>
          </w:p>
        </w:tc>
        <w:tc>
          <w:tcPr>
            <w:tcW w:w="0" w:type="auto"/>
            <w:tcBorders>
              <w:left w:val="single" w:sz="4" w:space="0" w:color="4A4D56" w:themeColor="text1"/>
              <w:bottom w:val="single" w:sz="4" w:space="0" w:color="4A4D56" w:themeColor="text1"/>
              <w:right w:val="single" w:sz="4" w:space="0" w:color="4A4D56" w:themeColor="text1"/>
            </w:tcBorders>
          </w:tcPr>
          <w:p w14:paraId="49ED72A4"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Net MW</w:t>
            </w:r>
          </w:p>
        </w:tc>
        <w:tc>
          <w:tcPr>
            <w:tcW w:w="0" w:type="auto"/>
            <w:tcBorders>
              <w:left w:val="single" w:sz="4" w:space="0" w:color="4A4D56" w:themeColor="text1"/>
              <w:bottom w:val="single" w:sz="4" w:space="0" w:color="4A4D56" w:themeColor="text1"/>
              <w:right w:val="single" w:sz="4" w:space="0" w:color="4A4D56" w:themeColor="text1"/>
            </w:tcBorders>
          </w:tcPr>
          <w:p w14:paraId="3553D8FE"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 xml:space="preserve">Verified Net </w:t>
            </w:r>
            <w:proofErr w:type="spellStart"/>
            <w:r>
              <w:t>Therms</w:t>
            </w:r>
            <w:proofErr w:type="spellEnd"/>
          </w:p>
        </w:tc>
      </w:tr>
      <w:tr w:rsidR="00E915B8" w14:paraId="3C33CF3C" w14:textId="77777777" w:rsidTr="00657D8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764E5E96" w14:textId="3DEB1AC7" w:rsidR="00E915B8" w:rsidRPr="00625570" w:rsidRDefault="00E915B8" w:rsidP="00E915B8">
            <w:pPr>
              <w:pStyle w:val="TableLeftText"/>
            </w:pPr>
            <w:r>
              <w:rPr>
                <w:rFonts w:cs="Calibri"/>
                <w:color w:val="4A4D56"/>
              </w:rPr>
              <w:t>Retail Products – Market Rate</w:t>
            </w:r>
          </w:p>
        </w:tc>
        <w:tc>
          <w:tcPr>
            <w:tcW w:w="0" w:type="auto"/>
          </w:tcPr>
          <w:p w14:paraId="378F9D19" w14:textId="7F6F15D0" w:rsidR="00E915B8" w:rsidRPr="003868BC"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15,927</w:t>
            </w:r>
          </w:p>
        </w:tc>
        <w:tc>
          <w:tcPr>
            <w:tcW w:w="0" w:type="auto"/>
          </w:tcPr>
          <w:p w14:paraId="1B8AA49F" w14:textId="63A4BE60" w:rsidR="00E915B8" w:rsidRPr="003868BC"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3.15</w:t>
            </w:r>
          </w:p>
        </w:tc>
        <w:tc>
          <w:tcPr>
            <w:tcW w:w="0" w:type="auto"/>
          </w:tcPr>
          <w:p w14:paraId="30DA27C0" w14:textId="422865C8" w:rsidR="00E915B8" w:rsidRPr="003868BC"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949,852</w:t>
            </w:r>
          </w:p>
        </w:tc>
      </w:tr>
      <w:tr w:rsidR="00E915B8" w14:paraId="70492605" w14:textId="77777777" w:rsidTr="00657D8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04F60A92" w14:textId="72F49E63" w:rsidR="00E915B8" w:rsidRDefault="00E915B8" w:rsidP="00E915B8">
            <w:pPr>
              <w:pStyle w:val="TableLeftText"/>
            </w:pPr>
            <w:r>
              <w:rPr>
                <w:rFonts w:cs="Calibri"/>
                <w:color w:val="4A4D56"/>
              </w:rPr>
              <w:t>Retail Products – Market Rate Carryover</w:t>
            </w:r>
          </w:p>
        </w:tc>
        <w:tc>
          <w:tcPr>
            <w:tcW w:w="0" w:type="auto"/>
          </w:tcPr>
          <w:p w14:paraId="6E004606" w14:textId="2D6D2012"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3,706</w:t>
            </w:r>
          </w:p>
        </w:tc>
        <w:tc>
          <w:tcPr>
            <w:tcW w:w="0" w:type="auto"/>
          </w:tcPr>
          <w:p w14:paraId="1B8B3CDB" w14:textId="4E741FCA"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0.49</w:t>
            </w:r>
          </w:p>
        </w:tc>
        <w:tc>
          <w:tcPr>
            <w:tcW w:w="0" w:type="auto"/>
          </w:tcPr>
          <w:p w14:paraId="47AA6DF5" w14:textId="57F46CA3"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r>
      <w:tr w:rsidR="00E915B8" w14:paraId="6B950DB0" w14:textId="77777777" w:rsidTr="00657D8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41447BBD" w14:textId="16FC3F6F" w:rsidR="00E915B8" w:rsidRDefault="00E915B8" w:rsidP="00E915B8">
            <w:pPr>
              <w:pStyle w:val="TableLeftText"/>
            </w:pPr>
            <w:r>
              <w:rPr>
                <w:rFonts w:cs="Calibri"/>
                <w:color w:val="4A4D56"/>
              </w:rPr>
              <w:t xml:space="preserve">Multifamily – Market Rate </w:t>
            </w:r>
          </w:p>
        </w:tc>
        <w:tc>
          <w:tcPr>
            <w:tcW w:w="0" w:type="auto"/>
          </w:tcPr>
          <w:p w14:paraId="7B4BC71E" w14:textId="661A3AE5"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2,052</w:t>
            </w:r>
          </w:p>
        </w:tc>
        <w:tc>
          <w:tcPr>
            <w:tcW w:w="0" w:type="auto"/>
          </w:tcPr>
          <w:p w14:paraId="2522B25A" w14:textId="17525E87"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0.28</w:t>
            </w:r>
          </w:p>
        </w:tc>
        <w:tc>
          <w:tcPr>
            <w:tcW w:w="0" w:type="auto"/>
          </w:tcPr>
          <w:p w14:paraId="3F20E244" w14:textId="4E0113C5"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17,159</w:t>
            </w:r>
          </w:p>
        </w:tc>
      </w:tr>
      <w:tr w:rsidR="00E915B8" w14:paraId="60358E6E" w14:textId="77777777" w:rsidTr="00657D8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503B019D" w14:textId="7A4EB764" w:rsidR="00E915B8" w:rsidRPr="00625570" w:rsidRDefault="00E915B8" w:rsidP="00E915B8">
            <w:pPr>
              <w:pStyle w:val="TableLeftText"/>
            </w:pPr>
            <w:r>
              <w:rPr>
                <w:rFonts w:cs="Calibri"/>
                <w:color w:val="4A4D56"/>
              </w:rPr>
              <w:t>Market Rate Single Family – Midstream HVAC</w:t>
            </w:r>
          </w:p>
        </w:tc>
        <w:tc>
          <w:tcPr>
            <w:tcW w:w="0" w:type="auto"/>
          </w:tcPr>
          <w:p w14:paraId="02B9B470" w14:textId="38DE682C"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7,248</w:t>
            </w:r>
          </w:p>
        </w:tc>
        <w:tc>
          <w:tcPr>
            <w:tcW w:w="0" w:type="auto"/>
          </w:tcPr>
          <w:p w14:paraId="294BDC58" w14:textId="474F28BD"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1.52</w:t>
            </w:r>
          </w:p>
        </w:tc>
        <w:tc>
          <w:tcPr>
            <w:tcW w:w="0" w:type="auto"/>
          </w:tcPr>
          <w:p w14:paraId="5E50E387" w14:textId="42DAC2D0" w:rsidR="00E915B8" w:rsidRPr="00625570"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298,879</w:t>
            </w:r>
          </w:p>
        </w:tc>
      </w:tr>
      <w:tr w:rsidR="00E915B8" w14:paraId="56911C43" w14:textId="77777777" w:rsidTr="00657D8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01A5EA61" w14:textId="3CD7C67E" w:rsidR="00E915B8" w:rsidRPr="00625570" w:rsidRDefault="00E915B8" w:rsidP="00E915B8">
            <w:pPr>
              <w:pStyle w:val="TableLeftText"/>
            </w:pPr>
            <w:r>
              <w:rPr>
                <w:rFonts w:cs="Calibri"/>
                <w:color w:val="4A4D56"/>
              </w:rPr>
              <w:t>Market Rate Single Family – Home Efficiency</w:t>
            </w:r>
          </w:p>
        </w:tc>
        <w:tc>
          <w:tcPr>
            <w:tcW w:w="0" w:type="auto"/>
          </w:tcPr>
          <w:p w14:paraId="551D4B9A" w14:textId="3CE698D4"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118</w:t>
            </w:r>
          </w:p>
        </w:tc>
        <w:tc>
          <w:tcPr>
            <w:tcW w:w="0" w:type="auto"/>
          </w:tcPr>
          <w:p w14:paraId="5FEA2DE8" w14:textId="7581DAAC"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0.05</w:t>
            </w:r>
          </w:p>
        </w:tc>
        <w:tc>
          <w:tcPr>
            <w:tcW w:w="0" w:type="auto"/>
          </w:tcPr>
          <w:p w14:paraId="35F01637" w14:textId="11AEFAA3" w:rsidR="00E915B8" w:rsidRPr="00625570" w:rsidRDefault="00E915B8" w:rsidP="00E915B8">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21,579</w:t>
            </w:r>
          </w:p>
        </w:tc>
      </w:tr>
      <w:tr w:rsidR="00E915B8" w14:paraId="06C9DA60" w14:textId="77777777" w:rsidTr="00657D8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17F61FD7" w14:textId="14496018" w:rsidR="00E915B8" w:rsidRPr="003868BC" w:rsidRDefault="00E915B8" w:rsidP="00E915B8">
            <w:pPr>
              <w:pStyle w:val="TableLeftText"/>
              <w:rPr>
                <w:i/>
                <w:iCs/>
              </w:rPr>
            </w:pPr>
            <w:r>
              <w:rPr>
                <w:rFonts w:cs="Calibri"/>
                <w:i/>
                <w:iCs/>
                <w:color w:val="4A4D56"/>
              </w:rPr>
              <w:t>Non-IQ Residential Program Subtotal</w:t>
            </w:r>
          </w:p>
        </w:tc>
        <w:tc>
          <w:tcPr>
            <w:tcW w:w="0" w:type="auto"/>
          </w:tcPr>
          <w:p w14:paraId="58304B5A" w14:textId="5DF82633" w:rsidR="00E915B8" w:rsidRPr="003868BC"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rPr>
                <w:i/>
                <w:iCs/>
              </w:rPr>
            </w:pPr>
            <w:r>
              <w:rPr>
                <w:rFonts w:cs="Calibri"/>
                <w:color w:val="4A4D56"/>
              </w:rPr>
              <w:t>29,051</w:t>
            </w:r>
          </w:p>
        </w:tc>
        <w:tc>
          <w:tcPr>
            <w:tcW w:w="0" w:type="auto"/>
          </w:tcPr>
          <w:p w14:paraId="4FC7AA24" w14:textId="13DE61B0" w:rsidR="00E915B8" w:rsidRPr="003868BC"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rPr>
                <w:i/>
                <w:iCs/>
              </w:rPr>
            </w:pPr>
            <w:r>
              <w:rPr>
                <w:rFonts w:cs="Calibri"/>
                <w:color w:val="4A4D56"/>
              </w:rPr>
              <w:t>5.48</w:t>
            </w:r>
          </w:p>
        </w:tc>
        <w:tc>
          <w:tcPr>
            <w:tcW w:w="0" w:type="auto"/>
          </w:tcPr>
          <w:p w14:paraId="39D6F6E1" w14:textId="55564EFD" w:rsidR="00E915B8" w:rsidRPr="003868BC" w:rsidRDefault="00E915B8" w:rsidP="00E915B8">
            <w:pPr>
              <w:pStyle w:val="TableCenterText"/>
              <w:jc w:val="right"/>
              <w:cnfStyle w:val="000000010000" w:firstRow="0" w:lastRow="0" w:firstColumn="0" w:lastColumn="0" w:oddVBand="0" w:evenVBand="0" w:oddHBand="0" w:evenHBand="1" w:firstRowFirstColumn="0" w:firstRowLastColumn="0" w:lastRowFirstColumn="0" w:lastRowLastColumn="0"/>
              <w:rPr>
                <w:i/>
                <w:iCs/>
              </w:rPr>
            </w:pPr>
            <w:r>
              <w:rPr>
                <w:rFonts w:cs="Calibri"/>
                <w:color w:val="4A4D56"/>
              </w:rPr>
              <w:t>1,287,468</w:t>
            </w:r>
          </w:p>
        </w:tc>
      </w:tr>
      <w:tr w:rsidR="00E915B8" w14:paraId="53CE5A71" w14:textId="77777777" w:rsidTr="00657D8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08CB570A" w14:textId="71D4162D" w:rsidR="00E915B8" w:rsidRPr="003868BC" w:rsidRDefault="00E915B8" w:rsidP="00E915B8">
            <w:pPr>
              <w:pStyle w:val="TableTextLeftMedium"/>
            </w:pPr>
            <w:r>
              <w:rPr>
                <w:rFonts w:cs="Calibri"/>
                <w:color w:val="4A4D56"/>
                <w:szCs w:val="20"/>
              </w:rPr>
              <w:t>Residential NPSO Adder</w:t>
            </w:r>
          </w:p>
        </w:tc>
        <w:tc>
          <w:tcPr>
            <w:tcW w:w="0" w:type="auto"/>
          </w:tcPr>
          <w:p w14:paraId="7BD6DD04" w14:textId="7063A9F7" w:rsidR="00E915B8" w:rsidRPr="003868BC" w:rsidRDefault="00E915B8" w:rsidP="00E915B8">
            <w:pPr>
              <w:pStyle w:val="TableTextLeftMedium"/>
              <w:jc w:val="right"/>
              <w:cnfStyle w:val="000000100000" w:firstRow="0" w:lastRow="0" w:firstColumn="0" w:lastColumn="0" w:oddVBand="0" w:evenVBand="0" w:oddHBand="1" w:evenHBand="0" w:firstRowFirstColumn="0" w:firstRowLastColumn="0" w:lastRowFirstColumn="0" w:lastRowLastColumn="0"/>
            </w:pPr>
            <w:r>
              <w:rPr>
                <w:rFonts w:cs="Calibri"/>
                <w:color w:val="4A4D56"/>
                <w:szCs w:val="20"/>
              </w:rPr>
              <w:t>901</w:t>
            </w:r>
          </w:p>
        </w:tc>
        <w:tc>
          <w:tcPr>
            <w:tcW w:w="0" w:type="auto"/>
          </w:tcPr>
          <w:p w14:paraId="7CE9E01B" w14:textId="3A7C5F0B" w:rsidR="00E915B8" w:rsidRPr="003868BC" w:rsidRDefault="00E915B8" w:rsidP="00E915B8">
            <w:pPr>
              <w:pStyle w:val="TableTextLeftMedium"/>
              <w:jc w:val="right"/>
              <w:cnfStyle w:val="000000100000" w:firstRow="0" w:lastRow="0" w:firstColumn="0" w:lastColumn="0" w:oddVBand="0" w:evenVBand="0" w:oddHBand="1" w:evenHBand="0" w:firstRowFirstColumn="0" w:firstRowLastColumn="0" w:lastRowFirstColumn="0" w:lastRowLastColumn="0"/>
            </w:pPr>
            <w:r>
              <w:rPr>
                <w:rFonts w:cs="Calibri"/>
                <w:color w:val="4A4D56"/>
                <w:szCs w:val="20"/>
              </w:rPr>
              <w:t>0.17</w:t>
            </w:r>
          </w:p>
        </w:tc>
        <w:tc>
          <w:tcPr>
            <w:tcW w:w="0" w:type="auto"/>
          </w:tcPr>
          <w:p w14:paraId="33475D2D" w14:textId="5056FBA4" w:rsidR="00E915B8" w:rsidRPr="003868BC" w:rsidRDefault="00E915B8" w:rsidP="00E915B8">
            <w:pPr>
              <w:pStyle w:val="TableTextLeftMedium"/>
              <w:jc w:val="right"/>
              <w:cnfStyle w:val="000000100000" w:firstRow="0" w:lastRow="0" w:firstColumn="0" w:lastColumn="0" w:oddVBand="0" w:evenVBand="0" w:oddHBand="1" w:evenHBand="0" w:firstRowFirstColumn="0" w:firstRowLastColumn="0" w:lastRowFirstColumn="0" w:lastRowLastColumn="0"/>
            </w:pPr>
            <w:r>
              <w:rPr>
                <w:rFonts w:cs="Calibri"/>
                <w:color w:val="4A4D56"/>
                <w:szCs w:val="20"/>
              </w:rPr>
              <w:t>56,649</w:t>
            </w:r>
          </w:p>
        </w:tc>
      </w:tr>
    </w:tbl>
    <w:p w14:paraId="2E708BC0" w14:textId="77777777" w:rsidR="005C27B9" w:rsidRDefault="005C27B9" w:rsidP="005C27B9">
      <w:pPr>
        <w:pStyle w:val="Heading2"/>
      </w:pPr>
      <w:bookmarkStart w:id="37" w:name="_Toc165365700"/>
      <w:bookmarkStart w:id="38" w:name="_Toc192774864"/>
      <w:r>
        <w:t>Sources and Mitigation of Error</w:t>
      </w:r>
      <w:bookmarkEnd w:id="37"/>
      <w:bookmarkEnd w:id="38"/>
    </w:p>
    <w:p w14:paraId="2EAE1167" w14:textId="626D541A" w:rsidR="005C27B9" w:rsidRDefault="005C27B9" w:rsidP="005C27B9">
      <w:r w:rsidRPr="003868BC">
        <w:t>The evaluation team took steps to mitigate potential sources of error throughout the planning and implementation of the 202</w:t>
      </w:r>
      <w:r w:rsidR="00657D8A">
        <w:t>4</w:t>
      </w:r>
      <w:r w:rsidRPr="003868BC">
        <w:t xml:space="preserve"> evaluation. </w:t>
      </w:r>
      <w:proofErr w:type="gramStart"/>
      <w:r w:rsidRPr="003868BC">
        <w:t>In particular, we</w:t>
      </w:r>
      <w:proofErr w:type="gramEnd"/>
      <w:r w:rsidRPr="003868BC">
        <w:t xml:space="preserve"> considered the </w:t>
      </w:r>
      <w:proofErr w:type="gramStart"/>
      <w:r>
        <w:t>below</w:t>
      </w:r>
      <w:proofErr w:type="gramEnd"/>
      <w:r w:rsidRPr="003868BC">
        <w:t xml:space="preserve"> types of error</w:t>
      </w:r>
      <w:r>
        <w:t>:</w:t>
      </w:r>
      <w:r w:rsidRPr="003868BC">
        <w:t xml:space="preserve"> </w:t>
      </w:r>
    </w:p>
    <w:p w14:paraId="5C40520D" w14:textId="77777777" w:rsidR="00435227" w:rsidRPr="00435227" w:rsidRDefault="00435227" w:rsidP="00435227">
      <w:pPr>
        <w:pStyle w:val="ListBullet"/>
        <w:rPr>
          <w:b/>
          <w:bCs/>
        </w:rPr>
      </w:pPr>
      <w:r w:rsidRPr="00435227">
        <w:rPr>
          <w:b/>
          <w:bCs/>
        </w:rPr>
        <w:t>Analysis Error</w:t>
      </w:r>
    </w:p>
    <w:p w14:paraId="2A9895E4" w14:textId="77777777" w:rsidR="00435227" w:rsidRDefault="00435227" w:rsidP="00435227">
      <w:pPr>
        <w:pStyle w:val="ListBullet2"/>
      </w:pPr>
      <w:r>
        <w:rPr>
          <w:b/>
          <w:bCs/>
        </w:rPr>
        <w:t>Prescriptive Gross Impact Calculations</w:t>
      </w:r>
      <w:r>
        <w:t xml:space="preserve">: We calculated gross impacts by applying IL-TRM V12.0 calculations to the participant data in the tracking database. A separate </w:t>
      </w:r>
      <w:proofErr w:type="gramStart"/>
      <w:r>
        <w:t>team member</w:t>
      </w:r>
      <w:proofErr w:type="gramEnd"/>
      <w:r>
        <w:t xml:space="preserve"> reviewed all calculations to verify their accuracy and minimize data analysis errors. </w:t>
      </w:r>
    </w:p>
    <w:p w14:paraId="3ABB0526" w14:textId="77777777" w:rsidR="00435227" w:rsidRDefault="00435227" w:rsidP="00435227">
      <w:pPr>
        <w:pStyle w:val="ListBullet2"/>
      </w:pPr>
      <w:r>
        <w:rPr>
          <w:b/>
          <w:bCs/>
        </w:rPr>
        <w:t>Custom Gross Impact Calculations</w:t>
      </w:r>
      <w:r>
        <w:t>: We determined custom gross impacts using desk reviews and data collected during on-site M&amp;V. To minimize data analysis errors, we had a separate team member review all calculations to verify that calculations were performed accurately.</w:t>
      </w:r>
    </w:p>
    <w:p w14:paraId="75084C93" w14:textId="77777777" w:rsidR="003213AC" w:rsidRDefault="003213AC" w:rsidP="003213AC">
      <w:pPr>
        <w:pStyle w:val="ListBullet2"/>
      </w:pPr>
      <w:r w:rsidRPr="003213AC">
        <w:rPr>
          <w:b/>
          <w:bCs/>
        </w:rPr>
        <w:t xml:space="preserve">Net Impact Calculations: </w:t>
      </w:r>
      <w:r>
        <w:t>For net impact calculations, we applied SAG-approved NTGRs to estimated gross impacts to derive net impacts.</w:t>
      </w:r>
      <w:r>
        <w:rPr>
          <w:rStyle w:val="FootnoteReference"/>
        </w:rPr>
        <w:footnoteReference w:id="13"/>
      </w:r>
      <w:r>
        <w:t xml:space="preserve"> To minimize analytical errors, all calculations were reviewed by a separate team member to verify their accuracy.</w:t>
      </w:r>
    </w:p>
    <w:p w14:paraId="4E592B43" w14:textId="77777777" w:rsidR="005C27B9" w:rsidRPr="00EA1DC6" w:rsidRDefault="005C27B9" w:rsidP="005C27B9">
      <w:pPr>
        <w:pStyle w:val="ListBullet"/>
        <w:rPr>
          <w:b/>
          <w:bCs/>
        </w:rPr>
      </w:pPr>
      <w:r w:rsidRPr="00EA1DC6">
        <w:rPr>
          <w:b/>
          <w:bCs/>
        </w:rPr>
        <w:t>Sampling Error:</w:t>
      </w:r>
    </w:p>
    <w:p w14:paraId="48AF6230" w14:textId="6EBCEAFE" w:rsidR="00435227" w:rsidRDefault="00435227" w:rsidP="00435227">
      <w:pPr>
        <w:pStyle w:val="ListBullet2"/>
      </w:pPr>
      <w:r>
        <w:rPr>
          <w:b/>
          <w:bCs/>
        </w:rPr>
        <w:t>Custom Initiative Impact Sample</w:t>
      </w:r>
      <w:r>
        <w:t xml:space="preserve">: The evaluation team completed an impact review for 44 of 134 Custom Initiative projects achieving savings in 2024, drawing three waves of stratified samples separately for Custom Incentives projects claiming electric and gas savings and a fourth for New Construction Lighting projects. For gross impact results, at the 90% confidence level, we achieved a relative precision of 13.7% for electric energy savings, 41.4% for electric demand savings, and 13.0% for gas savings. Further detail on our methodology for Custom Initiative sampling is provided in the </w:t>
      </w:r>
      <w:r>
        <w:rPr>
          <w:i/>
          <w:iCs/>
        </w:rPr>
        <w:t>2024 AIC Business Program Impact Evaluation Report</w:t>
      </w:r>
      <w:r>
        <w:t>.</w:t>
      </w:r>
    </w:p>
    <w:p w14:paraId="49627D54" w14:textId="77777777" w:rsidR="005C27B9" w:rsidRPr="00EA1DC6" w:rsidRDefault="005C27B9" w:rsidP="00435227">
      <w:pPr>
        <w:pStyle w:val="ListBullet"/>
        <w:keepNext/>
        <w:keepLines/>
        <w:ind w:left="475" w:hanging="288"/>
        <w:rPr>
          <w:b/>
          <w:bCs/>
        </w:rPr>
      </w:pPr>
      <w:r w:rsidRPr="00EA1DC6">
        <w:rPr>
          <w:b/>
          <w:bCs/>
        </w:rPr>
        <w:t>Non-Sampling Error:</w:t>
      </w:r>
    </w:p>
    <w:p w14:paraId="626EE544" w14:textId="39EEA8E7" w:rsidR="005C27B9" w:rsidRDefault="005C27B9" w:rsidP="005C27B9">
      <w:pPr>
        <w:pStyle w:val="ListBullet2"/>
      </w:pPr>
      <w:r w:rsidRPr="00EA1DC6">
        <w:rPr>
          <w:b/>
          <w:bCs/>
        </w:rPr>
        <w:t>Measurement Error</w:t>
      </w:r>
      <w:r w:rsidR="003213AC">
        <w:rPr>
          <w:b/>
          <w:bCs/>
        </w:rPr>
        <w:t xml:space="preserve"> – On-Site M&amp;V:</w:t>
      </w:r>
      <w:r>
        <w:t xml:space="preserve"> To minimize data collection error during on-site M&amp;V, the evaluation team used trained engineers and technicians familiar with the equipment covered by the Custom Initiative</w:t>
      </w:r>
      <w:r w:rsidR="00435227">
        <w:t xml:space="preserve"> and Retro-Commissioning Initiative</w:t>
      </w:r>
      <w:r>
        <w:t xml:space="preserve"> and with the methods used to calculate the gross impacts.</w:t>
      </w:r>
    </w:p>
    <w:p w14:paraId="1188453E" w14:textId="4930AA02" w:rsidR="003213AC" w:rsidRDefault="003213AC" w:rsidP="003213AC">
      <w:pPr>
        <w:pStyle w:val="ListBullet2"/>
      </w:pPr>
      <w:r>
        <w:rPr>
          <w:b/>
          <w:bCs/>
        </w:rPr>
        <w:t xml:space="preserve">Measurement Error – Survey and Interview Data: </w:t>
      </w:r>
      <w:r>
        <w:t xml:space="preserve">The validity and reliability of survey and interview data used to estimate market effects associated with the Market Rate Single Family Initiative’s Midstream HVAC channel were addressed through multiple strategies. First, we relied on our experience to create questions that align with the idea or </w:t>
      </w:r>
      <w:proofErr w:type="gramStart"/>
      <w:r>
        <w:t>construct</w:t>
      </w:r>
      <w:proofErr w:type="gramEnd"/>
      <w:r>
        <w:t xml:space="preserve"> they intended to measure (i.e., face value validity). We reviewed the questions to ensure that we did not ask double-barreled questions (i.e., questions that ask about two subjects but allow only one response) or loaded questions (i.e., questions that are slanted one way or the other). We also checked the overall logical flow of the questions to avoid confusing respondents, which would decrease reliability. All data collection instruments were reviewed by key members of the evaluation team and were provided to AIC and ICC Staff for review.</w:t>
      </w:r>
    </w:p>
    <w:p w14:paraId="401F5DA6" w14:textId="74A074A1" w:rsidR="003213AC" w:rsidRDefault="003213AC" w:rsidP="003213AC">
      <w:pPr>
        <w:pStyle w:val="ListBullet2"/>
      </w:pPr>
      <w:r w:rsidRPr="003213AC">
        <w:rPr>
          <w:b/>
          <w:bCs/>
        </w:rPr>
        <w:t>Nonresponse and Self-Selection Bias</w:t>
      </w:r>
      <w:r w:rsidRPr="003213AC">
        <w:rPr>
          <w:b/>
          <w:bCs/>
        </w:rPr>
        <w:t xml:space="preserve">: </w:t>
      </w:r>
      <w:r>
        <w:t>Survey and interview efforts, such as those used to estimate market effects associated with the Market Rate Single Family Initiative’s Midstream HVAC channel, have the potential for nonresponse bias due to possible differences between those who self-select to respond to surveys and those who do not. We attempted to mitigate this possible bias by sending multiple reminder emails at different times of the day and week and by making training assessment surveys required for training completion.</w:t>
      </w:r>
    </w:p>
    <w:p w14:paraId="535E552B" w14:textId="7436DD9F" w:rsidR="005C27B9" w:rsidRDefault="005C27B9" w:rsidP="005C27B9">
      <w:bookmarkStart w:id="39" w:name="_Hlk157181869"/>
      <w:r>
        <w:t xml:space="preserve">For the </w:t>
      </w:r>
      <w:proofErr w:type="spellStart"/>
      <w:r>
        <w:t>VCx</w:t>
      </w:r>
      <w:proofErr w:type="spellEnd"/>
      <w:r w:rsidR="00435227">
        <w:t xml:space="preserve"> and Virtual SEM</w:t>
      </w:r>
      <w:r>
        <w:t xml:space="preserve"> channel</w:t>
      </w:r>
      <w:r w:rsidR="00435227">
        <w:t>s</w:t>
      </w:r>
      <w:r>
        <w:t>, we also addressed the following types of error:</w:t>
      </w:r>
    </w:p>
    <w:bookmarkEnd w:id="39"/>
    <w:p w14:paraId="382BB991" w14:textId="77777777" w:rsidR="00435227" w:rsidRPr="00435227" w:rsidRDefault="00435227" w:rsidP="00435227">
      <w:pPr>
        <w:pStyle w:val="ListBullet"/>
      </w:pPr>
      <w:r w:rsidRPr="00435227">
        <w:rPr>
          <w:b/>
          <w:bCs/>
        </w:rPr>
        <w:t>Errors Due to Presence of Non-Routine Events</w:t>
      </w:r>
      <w:r w:rsidRPr="00435227">
        <w:t xml:space="preserve">: Non-routine events (NREs) refer to changes in facility energy consumption resulting from facility-related changes unrelated to the interventions recommended through the channel. NREs can make it difficult to accurately measure savings using meter-based approaches, including those we used for </w:t>
      </w:r>
      <w:proofErr w:type="spellStart"/>
      <w:r w:rsidRPr="00435227">
        <w:t>VCx</w:t>
      </w:r>
      <w:proofErr w:type="spellEnd"/>
      <w:r w:rsidRPr="00435227">
        <w:t xml:space="preserve"> and Virtual SEM. The evaluation team accounted for NREs in our modeling approach by removing data for the affected period and/or extending the baseline back in time accordingly, consistent with International Performance Measurement and Verification Protocol (IPMVP) Non-Routine Adjustment Options 1 and 3, respectively.</w:t>
      </w:r>
      <w:r w:rsidRPr="00435227">
        <w:rPr>
          <w:vertAlign w:val="superscript"/>
        </w:rPr>
        <w:footnoteReference w:id="14"/>
      </w:r>
      <w:r w:rsidRPr="00435227">
        <w:t xml:space="preserve">   </w:t>
      </w:r>
    </w:p>
    <w:p w14:paraId="007AC9F8" w14:textId="77777777" w:rsidR="00435227" w:rsidRPr="00435227" w:rsidRDefault="00435227" w:rsidP="00435227">
      <w:pPr>
        <w:pStyle w:val="ListBullet"/>
      </w:pPr>
      <w:r w:rsidRPr="00435227">
        <w:rPr>
          <w:b/>
          <w:bCs/>
        </w:rPr>
        <w:t>Model Specification Error</w:t>
      </w:r>
      <w:r w:rsidRPr="00435227">
        <w:t xml:space="preserve">: In this type of error, variables that predict model outcomes are left out when they should be included, which can produce biased estimates. The models used to estimate ex ante impacts in 2024 excluded weather interaction terms despite the weather-sensitive nature of the interventions, such as HVAC scheduling adjustments. The evaluation team addressed this type of error by modifying the facility-level models in cases where the inclusion of weather interactions improved model fit before producing verified savings.  </w:t>
      </w:r>
    </w:p>
    <w:p w14:paraId="01A2DDDA" w14:textId="77777777" w:rsidR="00435227" w:rsidRPr="00435227" w:rsidRDefault="00435227" w:rsidP="00435227">
      <w:pPr>
        <w:pStyle w:val="ListBullet"/>
      </w:pPr>
      <w:r w:rsidRPr="00435227">
        <w:rPr>
          <w:b/>
          <w:bCs/>
        </w:rPr>
        <w:t>Measurement Error</w:t>
      </w:r>
      <w:r w:rsidRPr="00435227">
        <w:t xml:space="preserve">: In the context of the </w:t>
      </w:r>
      <w:proofErr w:type="spellStart"/>
      <w:r w:rsidRPr="00435227">
        <w:t>VCx</w:t>
      </w:r>
      <w:proofErr w:type="spellEnd"/>
      <w:r w:rsidRPr="00435227">
        <w:t xml:space="preserve"> and Virtual SEM channels, measurement error can occur in two ways: (1) when utility electric meters do not accurately record the true energy consumption of a facility, and (2) when the defined post-period coincides with ongoing program implementation. In practice, little can be done in an evaluation context to mitigate errors from utility meters. However, we know from experience that this type of error is expected to be small and not significantly affect savings estimates. When appropriate and data permitting, the evaluation team re-defined model post-periods to exclude any periods of ongoing program implementation and only considered post-period data after all measures had been implemented. </w:t>
      </w:r>
    </w:p>
    <w:p w14:paraId="6025B4DC" w14:textId="77777777" w:rsidR="00435227" w:rsidRPr="00435227" w:rsidRDefault="00435227" w:rsidP="00435227">
      <w:pPr>
        <w:pStyle w:val="ListBullet"/>
      </w:pPr>
      <w:r w:rsidRPr="00435227">
        <w:rPr>
          <w:b/>
          <w:bCs/>
        </w:rPr>
        <w:t>Prediction Error</w:t>
      </w:r>
      <w:r w:rsidRPr="00435227">
        <w:t xml:space="preserve">: Prediction error occurs when the model does not perfectly predict future energy consumption. We did not receive a full year of post-period data for all </w:t>
      </w:r>
      <w:proofErr w:type="spellStart"/>
      <w:r w:rsidRPr="00435227">
        <w:t>VCx</w:t>
      </w:r>
      <w:proofErr w:type="spellEnd"/>
      <w:r w:rsidRPr="00435227">
        <w:t xml:space="preserve"> and Virtual SEM projects in 2024. This introduces </w:t>
      </w:r>
      <w:r w:rsidRPr="00435227">
        <w:lastRenderedPageBreak/>
        <w:t>uncertainty because the models could not train on a full range of temperature data after the intervention was initiated. This could increase the prediction error for temperatures that are outside the range of the training data. We addressed this by carefully examining model fit diagnostics.</w:t>
      </w:r>
    </w:p>
    <w:p w14:paraId="219837E5" w14:textId="77777777" w:rsidR="00435227" w:rsidRPr="00435227" w:rsidRDefault="00435227" w:rsidP="00435227">
      <w:pPr>
        <w:pStyle w:val="ListBullet"/>
      </w:pPr>
      <w:r w:rsidRPr="00435227">
        <w:rPr>
          <w:b/>
          <w:bCs/>
        </w:rPr>
        <w:t>Multicollinearity</w:t>
      </w:r>
      <w:r w:rsidRPr="00435227">
        <w:t xml:space="preserve">: This type of modeling error can bias the model results and produce very large variances. We addressed this issue by carefully considering model specifications and data to ensure that there were no multicollinearity issues. </w:t>
      </w:r>
    </w:p>
    <w:p w14:paraId="67A520DC" w14:textId="77777777" w:rsidR="00435227" w:rsidRPr="00435227" w:rsidRDefault="00435227" w:rsidP="00435227">
      <w:r w:rsidRPr="00435227">
        <w:t>Finally, note that the calculations in some of the tables in this report cannot be exactly reproduced due to rounding.</w:t>
      </w:r>
    </w:p>
    <w:p w14:paraId="118008B9" w14:textId="77777777" w:rsidR="00435227" w:rsidRPr="00837291" w:rsidRDefault="00435227" w:rsidP="005C27B9"/>
    <w:p w14:paraId="147BF883" w14:textId="77777777" w:rsidR="005C27B9" w:rsidRPr="006720C2" w:rsidRDefault="005C27B9" w:rsidP="005C27B9"/>
    <w:p w14:paraId="72F97DB3" w14:textId="77777777" w:rsidR="005C27B9" w:rsidRDefault="005C27B9" w:rsidP="005C27B9">
      <w:pPr>
        <w:pStyle w:val="Heading1"/>
      </w:pPr>
      <w:bookmarkStart w:id="40" w:name="_Toc165365701"/>
      <w:bookmarkStart w:id="41" w:name="_Toc192774865"/>
      <w:r>
        <w:lastRenderedPageBreak/>
        <w:t>Portfolio Verified Savings</w:t>
      </w:r>
      <w:bookmarkEnd w:id="40"/>
      <w:bookmarkEnd w:id="41"/>
    </w:p>
    <w:p w14:paraId="21B0D089" w14:textId="3616104C" w:rsidR="005C27B9" w:rsidRDefault="005C27B9" w:rsidP="005C27B9">
      <w:pPr>
        <w:pStyle w:val="Heading2"/>
      </w:pPr>
      <w:bookmarkStart w:id="42" w:name="_Toc165365703"/>
      <w:bookmarkStart w:id="43" w:name="_Ref192773908"/>
      <w:bookmarkStart w:id="44" w:name="_Toc192774866"/>
      <w:r>
        <w:t>202</w:t>
      </w:r>
      <w:r w:rsidR="00657D8A">
        <w:t>4</w:t>
      </w:r>
      <w:r>
        <w:t xml:space="preserve"> Residential Program Annual Savings</w:t>
      </w:r>
      <w:bookmarkEnd w:id="42"/>
      <w:bookmarkEnd w:id="43"/>
      <w:bookmarkEnd w:id="44"/>
    </w:p>
    <w:p w14:paraId="173CD211" w14:textId="1E12B5C0" w:rsidR="005C27B9" w:rsidRDefault="005C27B9" w:rsidP="005C27B9">
      <w:r w:rsidRPr="00B63B6D">
        <w:t>The 202</w:t>
      </w:r>
      <w:r w:rsidR="00657D8A">
        <w:t>4</w:t>
      </w:r>
      <w:r w:rsidRPr="00B63B6D">
        <w:t xml:space="preserve"> </w:t>
      </w:r>
      <w:r>
        <w:t>Residential</w:t>
      </w:r>
      <w:r w:rsidRPr="00B63B6D">
        <w:t xml:space="preserve"> Program achieved </w:t>
      </w:r>
      <w:r w:rsidR="00C0033C">
        <w:t>144,038</w:t>
      </w:r>
      <w:r w:rsidRPr="00B63B6D">
        <w:t xml:space="preserve"> MWh, </w:t>
      </w:r>
      <w:r w:rsidR="00C0033C">
        <w:t>19.92</w:t>
      </w:r>
      <w:r w:rsidRPr="00B63B6D">
        <w:t xml:space="preserve"> MW, and </w:t>
      </w:r>
      <w:r w:rsidR="00C0033C">
        <w:t>2,643,444</w:t>
      </w:r>
      <w:r w:rsidRPr="00B63B6D">
        <w:t xml:space="preserve"> </w:t>
      </w:r>
      <w:proofErr w:type="spellStart"/>
      <w:r w:rsidRPr="00B63B6D">
        <w:t>therms</w:t>
      </w:r>
      <w:proofErr w:type="spellEnd"/>
      <w:r w:rsidRPr="00B63B6D">
        <w:t xml:space="preserve"> in verified net savings. </w:t>
      </w:r>
      <w:r>
        <w:t xml:space="preserve">These </w:t>
      </w:r>
      <w:r w:rsidRPr="00334C63">
        <w:t xml:space="preserve">savings include </w:t>
      </w:r>
      <w:r w:rsidR="00C0033C">
        <w:t xml:space="preserve">the </w:t>
      </w:r>
      <w:r w:rsidRPr="00334C63">
        <w:t>NPSO</w:t>
      </w:r>
      <w:r w:rsidR="00C0033C">
        <w:t xml:space="preserve"> </w:t>
      </w:r>
      <w:r w:rsidRPr="00334C63">
        <w:t xml:space="preserve">“adder” </w:t>
      </w:r>
      <w:r>
        <w:t>to</w:t>
      </w:r>
      <w:r w:rsidRPr="00334C63">
        <w:t xml:space="preserve"> net savings</w:t>
      </w:r>
      <w:r w:rsidR="00C0033C">
        <w:t>, and also include subsection (b-27) electrification conversions, described further in Section</w:t>
      </w:r>
      <w:r w:rsidR="00435227">
        <w:t xml:space="preserve"> </w:t>
      </w:r>
      <w:r w:rsidR="00435227">
        <w:fldChar w:fldCharType="begin"/>
      </w:r>
      <w:r w:rsidR="00435227">
        <w:instrText xml:space="preserve"> REF _Ref192772825 \r \h </w:instrText>
      </w:r>
      <w:r w:rsidR="00435227">
        <w:fldChar w:fldCharType="separate"/>
      </w:r>
      <w:r w:rsidR="00F8548D">
        <w:t>3.4.2</w:t>
      </w:r>
      <w:r w:rsidR="00435227">
        <w:fldChar w:fldCharType="end"/>
      </w:r>
      <w:r w:rsidR="00C0033C">
        <w:t>.</w:t>
      </w:r>
      <w:r w:rsidRPr="00334C63">
        <w:rPr>
          <w:vertAlign w:val="superscript"/>
        </w:rPr>
        <w:footnoteReference w:id="15"/>
      </w:r>
      <w:r w:rsidRPr="00334C63">
        <w:t xml:space="preserve"> </w:t>
      </w:r>
      <w:r>
        <w:fldChar w:fldCharType="begin"/>
      </w:r>
      <w:r>
        <w:instrText xml:space="preserve"> REF _Ref137457486 \h  \* MERGEFORMAT </w:instrText>
      </w:r>
      <w:r>
        <w:fldChar w:fldCharType="separate"/>
      </w:r>
      <w:r w:rsidR="00F8548D">
        <w:t xml:space="preserve">Table </w:t>
      </w:r>
      <w:r w:rsidR="00F8548D">
        <w:rPr>
          <w:noProof/>
        </w:rPr>
        <w:t>7</w:t>
      </w:r>
      <w:r>
        <w:fldChar w:fldCharType="end"/>
      </w:r>
      <w:r>
        <w:t xml:space="preserve">, </w:t>
      </w:r>
      <w:r>
        <w:fldChar w:fldCharType="begin"/>
      </w:r>
      <w:r>
        <w:instrText xml:space="preserve"> REF _Ref155175928 \h  \* MERGEFORMAT </w:instrText>
      </w:r>
      <w:r>
        <w:fldChar w:fldCharType="separate"/>
      </w:r>
      <w:r w:rsidR="00F8548D">
        <w:t xml:space="preserve">Table </w:t>
      </w:r>
      <w:r w:rsidR="00F8548D">
        <w:rPr>
          <w:noProof/>
        </w:rPr>
        <w:t>8</w:t>
      </w:r>
      <w:r>
        <w:fldChar w:fldCharType="end"/>
      </w:r>
      <w:r>
        <w:t xml:space="preserve">, and </w:t>
      </w:r>
      <w:r>
        <w:fldChar w:fldCharType="begin"/>
      </w:r>
      <w:r>
        <w:instrText xml:space="preserve"> REF _Ref161260946 \h  \* MERGEFORMAT </w:instrText>
      </w:r>
      <w:r>
        <w:fldChar w:fldCharType="separate"/>
      </w:r>
      <w:r w:rsidR="00F8548D">
        <w:t xml:space="preserve">Table </w:t>
      </w:r>
      <w:r w:rsidR="00F8548D">
        <w:rPr>
          <w:noProof/>
        </w:rPr>
        <w:t>9</w:t>
      </w:r>
      <w:r>
        <w:fldChar w:fldCharType="end"/>
      </w:r>
      <w:r>
        <w:t xml:space="preserve"> </w:t>
      </w:r>
      <w:r w:rsidRPr="00B63B6D">
        <w:t xml:space="preserve">present ex ante gross, verified gross, and verified net electric energy, electric demand, and gas savings, by </w:t>
      </w:r>
      <w:r>
        <w:t>I</w:t>
      </w:r>
      <w:r w:rsidRPr="00B63B6D">
        <w:t xml:space="preserve">nitiative and </w:t>
      </w:r>
      <w:r>
        <w:t>channel</w:t>
      </w:r>
      <w:r w:rsidRPr="00B63B6D">
        <w:t>, for the 20</w:t>
      </w:r>
      <w:r w:rsidR="00657D8A">
        <w:t>24</w:t>
      </w:r>
      <w:r w:rsidRPr="00B63B6D">
        <w:t xml:space="preserve"> </w:t>
      </w:r>
      <w:r>
        <w:t>Residential Program</w:t>
      </w:r>
      <w:r w:rsidRPr="00B63B6D">
        <w:t>.</w:t>
      </w:r>
    </w:p>
    <w:p w14:paraId="135395CB" w14:textId="71CC1F2F" w:rsidR="005C27B9" w:rsidRDefault="005C27B9" w:rsidP="005C27B9">
      <w:pPr>
        <w:keepNext/>
        <w:keepLines/>
        <w:spacing w:before="240"/>
        <w:jc w:val="center"/>
      </w:pPr>
      <w:bookmarkStart w:id="45" w:name="_Ref137457486"/>
      <w:bookmarkStart w:id="46" w:name="_Toc156240731"/>
      <w:bookmarkStart w:id="47" w:name="_Toc161260987"/>
      <w:bookmarkStart w:id="48" w:name="_Toc192774881"/>
      <w:r>
        <w:t xml:space="preserve">Table </w:t>
      </w:r>
      <w:r>
        <w:fldChar w:fldCharType="begin"/>
      </w:r>
      <w:r>
        <w:instrText xml:space="preserve"> SEQ Table \* ARABIC </w:instrText>
      </w:r>
      <w:r>
        <w:fldChar w:fldCharType="separate"/>
      </w:r>
      <w:r w:rsidR="00F8548D">
        <w:rPr>
          <w:noProof/>
        </w:rPr>
        <w:t>7</w:t>
      </w:r>
      <w:r>
        <w:rPr>
          <w:noProof/>
        </w:rPr>
        <w:fldChar w:fldCharType="end"/>
      </w:r>
      <w:bookmarkEnd w:id="45"/>
      <w:r>
        <w:t>. 202</w:t>
      </w:r>
      <w:r w:rsidR="00657D8A">
        <w:t>4</w:t>
      </w:r>
      <w:r>
        <w:t xml:space="preserve"> Residential Program Electric Energy Annual Savings Summary</w:t>
      </w:r>
      <w:bookmarkEnd w:id="46"/>
      <w:bookmarkEnd w:id="47"/>
      <w:bookmarkEnd w:id="48"/>
    </w:p>
    <w:tbl>
      <w:tblPr>
        <w:tblStyle w:val="ODCBasic-1"/>
        <w:tblW w:w="0" w:type="auto"/>
        <w:tblLayout w:type="fixed"/>
        <w:tblCellMar>
          <w:top w:w="0" w:type="dxa"/>
          <w:bottom w:w="14" w:type="dxa"/>
        </w:tblCellMar>
        <w:tblLook w:val="04A0" w:firstRow="1" w:lastRow="0" w:firstColumn="1" w:lastColumn="0" w:noHBand="0" w:noVBand="1"/>
      </w:tblPr>
      <w:tblGrid>
        <w:gridCol w:w="4765"/>
        <w:gridCol w:w="1170"/>
        <w:gridCol w:w="1620"/>
        <w:gridCol w:w="1170"/>
        <w:gridCol w:w="1350"/>
        <w:gridCol w:w="982"/>
      </w:tblGrid>
      <w:tr w:rsidR="005C27B9" w14:paraId="50490F0D"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765" w:type="dxa"/>
            <w:tcBorders>
              <w:bottom w:val="single" w:sz="4" w:space="0" w:color="4A4D56" w:themeColor="text1"/>
              <w:right w:val="single" w:sz="4" w:space="0" w:color="4A4D56" w:themeColor="text1"/>
            </w:tcBorders>
          </w:tcPr>
          <w:p w14:paraId="08A64865" w14:textId="77777777" w:rsidR="005C27B9" w:rsidRPr="00625570" w:rsidRDefault="005C27B9" w:rsidP="002C7F49">
            <w:pPr>
              <w:pStyle w:val="TableHeadingLeft"/>
              <w:keepNext/>
              <w:keepLines/>
            </w:pPr>
            <w:r>
              <w:t>Initiative/Channel</w:t>
            </w:r>
          </w:p>
        </w:tc>
        <w:tc>
          <w:tcPr>
            <w:tcW w:w="1170" w:type="dxa"/>
            <w:tcBorders>
              <w:left w:val="single" w:sz="4" w:space="0" w:color="4A4D56" w:themeColor="text1"/>
              <w:bottom w:val="single" w:sz="4" w:space="0" w:color="4A4D56" w:themeColor="text1"/>
              <w:right w:val="single" w:sz="4" w:space="0" w:color="4A4D56" w:themeColor="text1"/>
            </w:tcBorders>
          </w:tcPr>
          <w:p w14:paraId="6E33EE48"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Ex Ante Gross MWh</w:t>
            </w:r>
          </w:p>
        </w:tc>
        <w:tc>
          <w:tcPr>
            <w:tcW w:w="1620" w:type="dxa"/>
            <w:tcBorders>
              <w:left w:val="single" w:sz="4" w:space="0" w:color="4A4D56" w:themeColor="text1"/>
              <w:bottom w:val="single" w:sz="4" w:space="0" w:color="4A4D56" w:themeColor="text1"/>
              <w:right w:val="single" w:sz="4" w:space="0" w:color="4A4D56" w:themeColor="text1"/>
            </w:tcBorders>
          </w:tcPr>
          <w:p w14:paraId="594924B5"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Gross Realization Rate</w:t>
            </w:r>
          </w:p>
        </w:tc>
        <w:tc>
          <w:tcPr>
            <w:tcW w:w="1170" w:type="dxa"/>
            <w:tcBorders>
              <w:left w:val="single" w:sz="4" w:space="0" w:color="4A4D56" w:themeColor="text1"/>
              <w:bottom w:val="single" w:sz="4" w:space="0" w:color="4A4D56" w:themeColor="text1"/>
              <w:right w:val="single" w:sz="4" w:space="0" w:color="4A4D56" w:themeColor="text1"/>
            </w:tcBorders>
          </w:tcPr>
          <w:p w14:paraId="66122AF6"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Verified Gross MWh</w:t>
            </w:r>
          </w:p>
        </w:tc>
        <w:tc>
          <w:tcPr>
            <w:tcW w:w="1350" w:type="dxa"/>
            <w:tcBorders>
              <w:left w:val="single" w:sz="4" w:space="0" w:color="4A4D56" w:themeColor="text1"/>
              <w:bottom w:val="single" w:sz="4" w:space="0" w:color="4A4D56" w:themeColor="text1"/>
              <w:right w:val="single" w:sz="4" w:space="0" w:color="4A4D56" w:themeColor="text1"/>
            </w:tcBorders>
          </w:tcPr>
          <w:p w14:paraId="62071F31"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Net-to-Gross Ratio (NTGR)</w:t>
            </w:r>
          </w:p>
        </w:tc>
        <w:tc>
          <w:tcPr>
            <w:tcW w:w="982" w:type="dxa"/>
            <w:tcBorders>
              <w:left w:val="single" w:sz="4" w:space="0" w:color="4A4D56" w:themeColor="text1"/>
              <w:bottom w:val="single" w:sz="4" w:space="0" w:color="4A4D56" w:themeColor="text1"/>
            </w:tcBorders>
          </w:tcPr>
          <w:p w14:paraId="4644965C"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Verified Net MWh</w:t>
            </w:r>
          </w:p>
        </w:tc>
      </w:tr>
      <w:tr w:rsidR="00C0033C" w14:paraId="1DD27097"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1DD35871" w14:textId="264BDF1F" w:rsidR="00C0033C" w:rsidRPr="00C0033C" w:rsidRDefault="00C0033C" w:rsidP="00C0033C">
            <w:pPr>
              <w:pStyle w:val="TableLeftText"/>
              <w:keepNext/>
              <w:keepLines/>
            </w:pPr>
            <w:r w:rsidRPr="00C0033C">
              <w:rPr>
                <w:rFonts w:cs="Calibri"/>
                <w:color w:val="4A4D56"/>
              </w:rPr>
              <w:t>Retail Products – Income Qualified</w:t>
            </w:r>
          </w:p>
        </w:tc>
        <w:tc>
          <w:tcPr>
            <w:tcW w:w="1170" w:type="dxa"/>
            <w:tcBorders>
              <w:top w:val="single" w:sz="4" w:space="0" w:color="4A4D56" w:themeColor="text1"/>
            </w:tcBorders>
          </w:tcPr>
          <w:p w14:paraId="4FF49E0C" w14:textId="47BB6960" w:rsidR="00C0033C" w:rsidRPr="00C0033C"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84,539</w:t>
            </w:r>
          </w:p>
        </w:tc>
        <w:tc>
          <w:tcPr>
            <w:tcW w:w="1620" w:type="dxa"/>
            <w:tcBorders>
              <w:top w:val="single" w:sz="4" w:space="0" w:color="4A4D56" w:themeColor="text1"/>
            </w:tcBorders>
          </w:tcPr>
          <w:p w14:paraId="766018A2" w14:textId="7BC65BCB" w:rsidR="00C0033C" w:rsidRPr="00C0033C"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98%</w:t>
            </w:r>
          </w:p>
        </w:tc>
        <w:tc>
          <w:tcPr>
            <w:tcW w:w="1170" w:type="dxa"/>
            <w:tcBorders>
              <w:top w:val="single" w:sz="4" w:space="0" w:color="4A4D56" w:themeColor="text1"/>
            </w:tcBorders>
          </w:tcPr>
          <w:p w14:paraId="5F9DFCBB" w14:textId="03BC6560" w:rsidR="00C0033C" w:rsidRPr="00C0033C"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82,468</w:t>
            </w:r>
          </w:p>
        </w:tc>
        <w:tc>
          <w:tcPr>
            <w:tcW w:w="1350" w:type="dxa"/>
            <w:tcBorders>
              <w:top w:val="single" w:sz="4" w:space="0" w:color="4A4D56" w:themeColor="text1"/>
            </w:tcBorders>
          </w:tcPr>
          <w:p w14:paraId="4AF571C4" w14:textId="6D89B344" w:rsidR="00C0033C" w:rsidRPr="00C0033C"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0.904</w:t>
            </w:r>
          </w:p>
        </w:tc>
        <w:tc>
          <w:tcPr>
            <w:tcW w:w="982" w:type="dxa"/>
            <w:tcBorders>
              <w:top w:val="single" w:sz="4" w:space="0" w:color="4A4D56" w:themeColor="text1"/>
            </w:tcBorders>
          </w:tcPr>
          <w:p w14:paraId="451A5241" w14:textId="56AF3C07" w:rsidR="00C0033C" w:rsidRPr="00C0033C"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74,582</w:t>
            </w:r>
          </w:p>
        </w:tc>
      </w:tr>
      <w:tr w:rsidR="00C0033C" w14:paraId="40A36A63"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2D3616B1" w14:textId="30EC39C2" w:rsidR="00C0033C" w:rsidRPr="00C0033C" w:rsidRDefault="00C0033C" w:rsidP="00C0033C">
            <w:pPr>
              <w:pStyle w:val="TableLeftText"/>
            </w:pPr>
            <w:r w:rsidRPr="00C0033C">
              <w:rPr>
                <w:rFonts w:cs="Calibri"/>
                <w:color w:val="4A4D56"/>
              </w:rPr>
              <w:t>Retail Products – Market Rate</w:t>
            </w:r>
          </w:p>
        </w:tc>
        <w:tc>
          <w:tcPr>
            <w:tcW w:w="1170" w:type="dxa"/>
            <w:tcBorders>
              <w:top w:val="single" w:sz="4" w:space="0" w:color="4A4D56" w:themeColor="text1"/>
            </w:tcBorders>
          </w:tcPr>
          <w:p w14:paraId="0F1142DF" w14:textId="7170A210"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19,847</w:t>
            </w:r>
          </w:p>
        </w:tc>
        <w:tc>
          <w:tcPr>
            <w:tcW w:w="1620" w:type="dxa"/>
            <w:tcBorders>
              <w:top w:val="single" w:sz="4" w:space="0" w:color="4A4D56" w:themeColor="text1"/>
            </w:tcBorders>
          </w:tcPr>
          <w:p w14:paraId="243F0BD4" w14:textId="090630CF"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97%</w:t>
            </w:r>
          </w:p>
        </w:tc>
        <w:tc>
          <w:tcPr>
            <w:tcW w:w="1170" w:type="dxa"/>
            <w:tcBorders>
              <w:top w:val="single" w:sz="4" w:space="0" w:color="4A4D56" w:themeColor="text1"/>
            </w:tcBorders>
          </w:tcPr>
          <w:p w14:paraId="21B57AF1" w14:textId="4D8B256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19,244</w:t>
            </w:r>
          </w:p>
        </w:tc>
        <w:tc>
          <w:tcPr>
            <w:tcW w:w="1350" w:type="dxa"/>
            <w:tcBorders>
              <w:top w:val="single" w:sz="4" w:space="0" w:color="4A4D56" w:themeColor="text1"/>
            </w:tcBorders>
          </w:tcPr>
          <w:p w14:paraId="4A3A287F" w14:textId="6E25CC35"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0.828</w:t>
            </w:r>
          </w:p>
        </w:tc>
        <w:tc>
          <w:tcPr>
            <w:tcW w:w="982" w:type="dxa"/>
            <w:tcBorders>
              <w:top w:val="single" w:sz="4" w:space="0" w:color="4A4D56" w:themeColor="text1"/>
            </w:tcBorders>
          </w:tcPr>
          <w:p w14:paraId="34306BC6" w14:textId="3B180284"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15,927</w:t>
            </w:r>
          </w:p>
        </w:tc>
      </w:tr>
      <w:tr w:rsidR="00C0033C" w14:paraId="16CDF4CC"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2931AA46" w14:textId="6CCBFA92" w:rsidR="00C0033C" w:rsidRPr="00C0033C" w:rsidRDefault="00C0033C" w:rsidP="00C0033C">
            <w:pPr>
              <w:pStyle w:val="TableLeftText"/>
            </w:pPr>
            <w:r w:rsidRPr="00C0033C">
              <w:rPr>
                <w:rFonts w:cs="Calibri"/>
                <w:color w:val="4A4D56"/>
              </w:rPr>
              <w:t>Retail Products – Income Qualified Carryover</w:t>
            </w:r>
          </w:p>
        </w:tc>
        <w:tc>
          <w:tcPr>
            <w:tcW w:w="1170" w:type="dxa"/>
            <w:tcBorders>
              <w:top w:val="single" w:sz="4" w:space="0" w:color="4A4D56" w:themeColor="text1"/>
            </w:tcBorders>
          </w:tcPr>
          <w:p w14:paraId="715E0EED" w14:textId="6858932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0</w:t>
            </w:r>
          </w:p>
        </w:tc>
        <w:tc>
          <w:tcPr>
            <w:tcW w:w="1620" w:type="dxa"/>
            <w:tcBorders>
              <w:top w:val="single" w:sz="4" w:space="0" w:color="4A4D56" w:themeColor="text1"/>
            </w:tcBorders>
          </w:tcPr>
          <w:p w14:paraId="406F8F96" w14:textId="2912DAA0"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 xml:space="preserve"> N/A </w:t>
            </w:r>
          </w:p>
        </w:tc>
        <w:tc>
          <w:tcPr>
            <w:tcW w:w="1170" w:type="dxa"/>
            <w:tcBorders>
              <w:top w:val="single" w:sz="4" w:space="0" w:color="4A4D56" w:themeColor="text1"/>
            </w:tcBorders>
          </w:tcPr>
          <w:p w14:paraId="12E44024" w14:textId="5359E53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4,663</w:t>
            </w:r>
          </w:p>
        </w:tc>
        <w:tc>
          <w:tcPr>
            <w:tcW w:w="1350" w:type="dxa"/>
            <w:tcBorders>
              <w:top w:val="single" w:sz="4" w:space="0" w:color="4A4D56" w:themeColor="text1"/>
            </w:tcBorders>
          </w:tcPr>
          <w:p w14:paraId="597D65F7" w14:textId="3ABB7EEB"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0.908</w:t>
            </w:r>
          </w:p>
        </w:tc>
        <w:tc>
          <w:tcPr>
            <w:tcW w:w="982" w:type="dxa"/>
            <w:tcBorders>
              <w:top w:val="single" w:sz="4" w:space="0" w:color="4A4D56" w:themeColor="text1"/>
            </w:tcBorders>
          </w:tcPr>
          <w:p w14:paraId="3ABD9A1C" w14:textId="4600D49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4,236</w:t>
            </w:r>
          </w:p>
        </w:tc>
      </w:tr>
      <w:tr w:rsidR="00C0033C" w14:paraId="437569B8"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7634FAAA" w14:textId="7709EA19" w:rsidR="00C0033C" w:rsidRPr="00C0033C" w:rsidRDefault="00C0033C" w:rsidP="00C0033C">
            <w:pPr>
              <w:pStyle w:val="TableLeftText"/>
              <w:rPr>
                <w:vertAlign w:val="superscript"/>
              </w:rPr>
            </w:pPr>
            <w:r w:rsidRPr="00C0033C">
              <w:rPr>
                <w:rFonts w:cs="Calibri"/>
                <w:color w:val="4A4D56"/>
              </w:rPr>
              <w:t>Retail Products – Market Rate Carryover</w:t>
            </w:r>
          </w:p>
        </w:tc>
        <w:tc>
          <w:tcPr>
            <w:tcW w:w="1170" w:type="dxa"/>
            <w:tcBorders>
              <w:top w:val="single" w:sz="4" w:space="0" w:color="4A4D56" w:themeColor="text1"/>
            </w:tcBorders>
          </w:tcPr>
          <w:p w14:paraId="698153AD" w14:textId="5266A88F"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w:t>
            </w:r>
          </w:p>
        </w:tc>
        <w:tc>
          <w:tcPr>
            <w:tcW w:w="1620" w:type="dxa"/>
            <w:tcBorders>
              <w:top w:val="single" w:sz="4" w:space="0" w:color="4A4D56" w:themeColor="text1"/>
            </w:tcBorders>
          </w:tcPr>
          <w:p w14:paraId="217400DF" w14:textId="475D49F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xml:space="preserve"> N/A </w:t>
            </w:r>
          </w:p>
        </w:tc>
        <w:tc>
          <w:tcPr>
            <w:tcW w:w="1170" w:type="dxa"/>
            <w:tcBorders>
              <w:top w:val="single" w:sz="4" w:space="0" w:color="4A4D56" w:themeColor="text1"/>
            </w:tcBorders>
          </w:tcPr>
          <w:p w14:paraId="7A522980" w14:textId="60EA9424"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5,196</w:t>
            </w:r>
          </w:p>
        </w:tc>
        <w:tc>
          <w:tcPr>
            <w:tcW w:w="1350" w:type="dxa"/>
            <w:tcBorders>
              <w:top w:val="single" w:sz="4" w:space="0" w:color="4A4D56" w:themeColor="text1"/>
            </w:tcBorders>
          </w:tcPr>
          <w:p w14:paraId="3D0F0012" w14:textId="2242110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0.713</w:t>
            </w:r>
          </w:p>
        </w:tc>
        <w:tc>
          <w:tcPr>
            <w:tcW w:w="982" w:type="dxa"/>
            <w:tcBorders>
              <w:top w:val="single" w:sz="4" w:space="0" w:color="4A4D56" w:themeColor="text1"/>
            </w:tcBorders>
          </w:tcPr>
          <w:p w14:paraId="03829406" w14:textId="5B932ABA"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3,706</w:t>
            </w:r>
          </w:p>
        </w:tc>
      </w:tr>
      <w:tr w:rsidR="00C0033C" w14:paraId="7CE62EE6"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0A6592E3" w14:textId="6B7AC84F" w:rsidR="00C0033C" w:rsidRPr="00C0033C" w:rsidRDefault="00C0033C" w:rsidP="00C0033C">
            <w:pPr>
              <w:pStyle w:val="TableLeftText"/>
            </w:pPr>
            <w:r w:rsidRPr="00C0033C">
              <w:rPr>
                <w:rFonts w:cs="Calibri"/>
                <w:color w:val="4A4D56"/>
              </w:rPr>
              <w:t>Income Qualified – Single Family</w:t>
            </w:r>
          </w:p>
        </w:tc>
        <w:tc>
          <w:tcPr>
            <w:tcW w:w="1170" w:type="dxa"/>
            <w:tcBorders>
              <w:top w:val="single" w:sz="4" w:space="0" w:color="4A4D56" w:themeColor="text1"/>
            </w:tcBorders>
          </w:tcPr>
          <w:p w14:paraId="75C0B62D" w14:textId="606366E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5,194</w:t>
            </w:r>
          </w:p>
        </w:tc>
        <w:tc>
          <w:tcPr>
            <w:tcW w:w="1620" w:type="dxa"/>
            <w:tcBorders>
              <w:top w:val="single" w:sz="4" w:space="0" w:color="4A4D56" w:themeColor="text1"/>
            </w:tcBorders>
          </w:tcPr>
          <w:p w14:paraId="7D19C086" w14:textId="60705F0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94%</w:t>
            </w:r>
          </w:p>
        </w:tc>
        <w:tc>
          <w:tcPr>
            <w:tcW w:w="1170" w:type="dxa"/>
            <w:tcBorders>
              <w:top w:val="single" w:sz="4" w:space="0" w:color="4A4D56" w:themeColor="text1"/>
            </w:tcBorders>
          </w:tcPr>
          <w:p w14:paraId="5FFBCF56" w14:textId="51FB3E1A"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4,857</w:t>
            </w:r>
          </w:p>
        </w:tc>
        <w:tc>
          <w:tcPr>
            <w:tcW w:w="1350" w:type="dxa"/>
            <w:tcBorders>
              <w:top w:val="single" w:sz="4" w:space="0" w:color="4A4D56" w:themeColor="text1"/>
            </w:tcBorders>
          </w:tcPr>
          <w:p w14:paraId="5A4DFD6B" w14:textId="2E8A571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A4D56" w:themeColor="text1"/>
            </w:tcBorders>
          </w:tcPr>
          <w:p w14:paraId="7CFFD047" w14:textId="0C3CF46A"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4,857</w:t>
            </w:r>
          </w:p>
        </w:tc>
      </w:tr>
      <w:tr w:rsidR="00C0033C" w14:paraId="3AF5A081"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5A2182E" w14:textId="5D1F2E48" w:rsidR="00C0033C" w:rsidRPr="00C0033C" w:rsidRDefault="00C0033C" w:rsidP="00C0033C">
            <w:pPr>
              <w:pStyle w:val="TableLeftText"/>
            </w:pPr>
            <w:r w:rsidRPr="00C0033C">
              <w:rPr>
                <w:rFonts w:cs="Calibri"/>
                <w:color w:val="4A4D56"/>
              </w:rPr>
              <w:t>Income Qualified – CAA</w:t>
            </w:r>
          </w:p>
        </w:tc>
        <w:tc>
          <w:tcPr>
            <w:tcW w:w="1170" w:type="dxa"/>
          </w:tcPr>
          <w:p w14:paraId="56866278" w14:textId="103F781F"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844</w:t>
            </w:r>
          </w:p>
        </w:tc>
        <w:tc>
          <w:tcPr>
            <w:tcW w:w="1620" w:type="dxa"/>
          </w:tcPr>
          <w:p w14:paraId="7C7C738D" w14:textId="6DEFE95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101%</w:t>
            </w:r>
          </w:p>
        </w:tc>
        <w:tc>
          <w:tcPr>
            <w:tcW w:w="1170" w:type="dxa"/>
          </w:tcPr>
          <w:p w14:paraId="4D69DFE2" w14:textId="27D6C123"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852</w:t>
            </w:r>
          </w:p>
        </w:tc>
        <w:tc>
          <w:tcPr>
            <w:tcW w:w="1350" w:type="dxa"/>
          </w:tcPr>
          <w:p w14:paraId="71BEBE16" w14:textId="74BC272A"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Pr>
          <w:p w14:paraId="3D8F3BCB" w14:textId="71377316"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852</w:t>
            </w:r>
          </w:p>
        </w:tc>
      </w:tr>
      <w:tr w:rsidR="00C0033C" w14:paraId="460A17B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C1B52D2" w14:textId="7A84D041" w:rsidR="00C0033C" w:rsidRPr="00C0033C" w:rsidRDefault="00C0033C" w:rsidP="00C0033C">
            <w:pPr>
              <w:pStyle w:val="TableLeftText"/>
            </w:pPr>
            <w:r w:rsidRPr="00C0033C">
              <w:rPr>
                <w:rFonts w:cs="Calibri"/>
                <w:color w:val="4A4D56"/>
              </w:rPr>
              <w:t>Income Qualified – Joint Utility</w:t>
            </w:r>
          </w:p>
        </w:tc>
        <w:tc>
          <w:tcPr>
            <w:tcW w:w="1170" w:type="dxa"/>
          </w:tcPr>
          <w:p w14:paraId="3F4539F3" w14:textId="54365682"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166</w:t>
            </w:r>
          </w:p>
        </w:tc>
        <w:tc>
          <w:tcPr>
            <w:tcW w:w="1620" w:type="dxa"/>
          </w:tcPr>
          <w:p w14:paraId="5DCCFC43" w14:textId="43A18DA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102%</w:t>
            </w:r>
          </w:p>
        </w:tc>
        <w:tc>
          <w:tcPr>
            <w:tcW w:w="1170" w:type="dxa"/>
          </w:tcPr>
          <w:p w14:paraId="1BF68024" w14:textId="27C4CE29"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169</w:t>
            </w:r>
          </w:p>
        </w:tc>
        <w:tc>
          <w:tcPr>
            <w:tcW w:w="1350" w:type="dxa"/>
          </w:tcPr>
          <w:p w14:paraId="5A9EAAD6" w14:textId="4425CA1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Pr>
          <w:p w14:paraId="140CB1B5" w14:textId="78C6D454"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169</w:t>
            </w:r>
          </w:p>
        </w:tc>
      </w:tr>
      <w:tr w:rsidR="00C0033C" w14:paraId="4A826FE7"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C3B97DA" w14:textId="0BBCC68F" w:rsidR="00C0033C" w:rsidRPr="00C0033C" w:rsidRDefault="00C0033C" w:rsidP="00C0033C">
            <w:pPr>
              <w:pStyle w:val="TableLeftText"/>
            </w:pPr>
            <w:r w:rsidRPr="00C0033C">
              <w:rPr>
                <w:rFonts w:cs="Calibri"/>
                <w:color w:val="4A4D56"/>
              </w:rPr>
              <w:t>Income Qualified – Smart Savers</w:t>
            </w:r>
          </w:p>
        </w:tc>
        <w:tc>
          <w:tcPr>
            <w:tcW w:w="1170" w:type="dxa"/>
          </w:tcPr>
          <w:p w14:paraId="653D42A9" w14:textId="641A09BB"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398</w:t>
            </w:r>
          </w:p>
        </w:tc>
        <w:tc>
          <w:tcPr>
            <w:tcW w:w="1620" w:type="dxa"/>
          </w:tcPr>
          <w:p w14:paraId="7A333DA2" w14:textId="55F42419"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98%</w:t>
            </w:r>
          </w:p>
        </w:tc>
        <w:tc>
          <w:tcPr>
            <w:tcW w:w="1170" w:type="dxa"/>
          </w:tcPr>
          <w:p w14:paraId="1AD073CE" w14:textId="1219B2C5"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390</w:t>
            </w:r>
          </w:p>
        </w:tc>
        <w:tc>
          <w:tcPr>
            <w:tcW w:w="1350" w:type="dxa"/>
          </w:tcPr>
          <w:p w14:paraId="49F7545E" w14:textId="7EEBE15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0.998</w:t>
            </w:r>
          </w:p>
        </w:tc>
        <w:tc>
          <w:tcPr>
            <w:tcW w:w="982" w:type="dxa"/>
            <w:tcBorders>
              <w:top w:val="single" w:sz="4" w:space="0" w:color="416DCB" w:themeColor="accent1" w:themeTint="99"/>
            </w:tcBorders>
          </w:tcPr>
          <w:p w14:paraId="306C6C45" w14:textId="3A2FD1A5"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389</w:t>
            </w:r>
          </w:p>
        </w:tc>
      </w:tr>
      <w:tr w:rsidR="00C0033C" w14:paraId="0CB1B95D"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90BCCC9" w14:textId="7461EE05" w:rsidR="00C0033C" w:rsidRPr="00C0033C" w:rsidRDefault="00C0033C" w:rsidP="00C0033C">
            <w:pPr>
              <w:pStyle w:val="TableLeftText"/>
            </w:pPr>
            <w:r w:rsidRPr="00C0033C">
              <w:rPr>
                <w:rFonts w:cs="Calibri"/>
                <w:color w:val="4A4D56"/>
              </w:rPr>
              <w:t xml:space="preserve">Income Qualified – MHAS </w:t>
            </w:r>
          </w:p>
        </w:tc>
        <w:tc>
          <w:tcPr>
            <w:tcW w:w="1170" w:type="dxa"/>
          </w:tcPr>
          <w:p w14:paraId="24BBE2A9" w14:textId="6BF52814"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293</w:t>
            </w:r>
          </w:p>
        </w:tc>
        <w:tc>
          <w:tcPr>
            <w:tcW w:w="1620" w:type="dxa"/>
          </w:tcPr>
          <w:p w14:paraId="56F3243E" w14:textId="370F879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102%</w:t>
            </w:r>
          </w:p>
        </w:tc>
        <w:tc>
          <w:tcPr>
            <w:tcW w:w="1170" w:type="dxa"/>
          </w:tcPr>
          <w:p w14:paraId="48C236DD" w14:textId="69D29814"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297</w:t>
            </w:r>
          </w:p>
        </w:tc>
        <w:tc>
          <w:tcPr>
            <w:tcW w:w="1350" w:type="dxa"/>
          </w:tcPr>
          <w:p w14:paraId="5DBF9C0B" w14:textId="4F2135B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1AD23115" w14:textId="4817AB3D"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297</w:t>
            </w:r>
          </w:p>
        </w:tc>
      </w:tr>
      <w:tr w:rsidR="00C0033C" w14:paraId="72049BBA"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920EA3F" w14:textId="6135DC47" w:rsidR="00C0033C" w:rsidRPr="00C0033C" w:rsidRDefault="00C0033C" w:rsidP="00C0033C">
            <w:pPr>
              <w:pStyle w:val="TableLeftText"/>
            </w:pPr>
            <w:r w:rsidRPr="00C0033C">
              <w:rPr>
                <w:rFonts w:cs="Calibri"/>
                <w:color w:val="4A4D56"/>
              </w:rPr>
              <w:t>Income Qualified – Healthier Homes</w:t>
            </w:r>
          </w:p>
        </w:tc>
        <w:tc>
          <w:tcPr>
            <w:tcW w:w="1170" w:type="dxa"/>
          </w:tcPr>
          <w:p w14:paraId="1EC734FA" w14:textId="6A50862D"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37</w:t>
            </w:r>
          </w:p>
        </w:tc>
        <w:tc>
          <w:tcPr>
            <w:tcW w:w="1620" w:type="dxa"/>
          </w:tcPr>
          <w:p w14:paraId="5B48163D" w14:textId="2E386C40"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110%</w:t>
            </w:r>
          </w:p>
        </w:tc>
        <w:tc>
          <w:tcPr>
            <w:tcW w:w="1170" w:type="dxa"/>
          </w:tcPr>
          <w:p w14:paraId="7789FD92" w14:textId="459DAF69"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41</w:t>
            </w:r>
          </w:p>
        </w:tc>
        <w:tc>
          <w:tcPr>
            <w:tcW w:w="1350" w:type="dxa"/>
          </w:tcPr>
          <w:p w14:paraId="03D1BAF6" w14:textId="4D5F3905"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1FFE18A8" w14:textId="591B418B"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41</w:t>
            </w:r>
          </w:p>
        </w:tc>
      </w:tr>
      <w:tr w:rsidR="00C0033C" w14:paraId="189103D8"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5D71F57" w14:textId="0A8CF3EB" w:rsidR="00C0033C" w:rsidRPr="00C0033C" w:rsidRDefault="00C0033C" w:rsidP="00C0033C">
            <w:pPr>
              <w:pStyle w:val="TableLeftText"/>
            </w:pPr>
            <w:r w:rsidRPr="00C0033C">
              <w:rPr>
                <w:rFonts w:cs="Calibri"/>
                <w:color w:val="4A4D56"/>
              </w:rPr>
              <w:t>Income Qualified – Electrification</w:t>
            </w:r>
          </w:p>
        </w:tc>
        <w:tc>
          <w:tcPr>
            <w:tcW w:w="1170" w:type="dxa"/>
          </w:tcPr>
          <w:p w14:paraId="18DA0E52" w14:textId="5C76316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358</w:t>
            </w:r>
          </w:p>
        </w:tc>
        <w:tc>
          <w:tcPr>
            <w:tcW w:w="1620" w:type="dxa"/>
          </w:tcPr>
          <w:p w14:paraId="00641EBC" w14:textId="3D51E44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102%</w:t>
            </w:r>
          </w:p>
        </w:tc>
        <w:tc>
          <w:tcPr>
            <w:tcW w:w="1170" w:type="dxa"/>
          </w:tcPr>
          <w:p w14:paraId="1BFBB597" w14:textId="09AF69EA"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365</w:t>
            </w:r>
          </w:p>
        </w:tc>
        <w:tc>
          <w:tcPr>
            <w:tcW w:w="1350" w:type="dxa"/>
          </w:tcPr>
          <w:p w14:paraId="22722A8A" w14:textId="297EDBA0"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10D6B957" w14:textId="02BC43A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365</w:t>
            </w:r>
          </w:p>
        </w:tc>
      </w:tr>
      <w:tr w:rsidR="00C0033C" w14:paraId="7D8B9B0D"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E4D22A7" w14:textId="2B1EB584" w:rsidR="00C0033C" w:rsidRPr="00C0033C" w:rsidRDefault="00C0033C" w:rsidP="00C0033C">
            <w:pPr>
              <w:pStyle w:val="TableLeftText"/>
            </w:pPr>
            <w:r w:rsidRPr="00C0033C">
              <w:rPr>
                <w:rFonts w:cs="Calibri"/>
                <w:color w:val="4A4D56"/>
              </w:rPr>
              <w:t>Income Qualified – Carryover</w:t>
            </w:r>
          </w:p>
        </w:tc>
        <w:tc>
          <w:tcPr>
            <w:tcW w:w="1170" w:type="dxa"/>
          </w:tcPr>
          <w:p w14:paraId="40372873" w14:textId="542644A9"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w:t>
            </w:r>
          </w:p>
        </w:tc>
        <w:tc>
          <w:tcPr>
            <w:tcW w:w="1620" w:type="dxa"/>
          </w:tcPr>
          <w:p w14:paraId="1F179E11" w14:textId="5B24EF6E"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xml:space="preserve"> N/A </w:t>
            </w:r>
          </w:p>
        </w:tc>
        <w:tc>
          <w:tcPr>
            <w:tcW w:w="1170" w:type="dxa"/>
          </w:tcPr>
          <w:p w14:paraId="6817C74B" w14:textId="33024400"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32</w:t>
            </w:r>
          </w:p>
        </w:tc>
        <w:tc>
          <w:tcPr>
            <w:tcW w:w="1350" w:type="dxa"/>
          </w:tcPr>
          <w:p w14:paraId="73456F45" w14:textId="78F7833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49CAA0E7" w14:textId="4A711524"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32</w:t>
            </w:r>
          </w:p>
        </w:tc>
      </w:tr>
      <w:tr w:rsidR="00C0033C" w14:paraId="2EA3E453"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FC83975" w14:textId="41B37C02" w:rsidR="00C0033C" w:rsidRPr="00C0033C" w:rsidRDefault="00C0033C" w:rsidP="00C0033C">
            <w:pPr>
              <w:pStyle w:val="TableLeftText"/>
            </w:pPr>
            <w:r w:rsidRPr="00C0033C">
              <w:rPr>
                <w:rFonts w:cs="Calibri"/>
                <w:color w:val="4A4D56"/>
              </w:rPr>
              <w:t xml:space="preserve">Multifamily – Income Qualified </w:t>
            </w:r>
          </w:p>
        </w:tc>
        <w:tc>
          <w:tcPr>
            <w:tcW w:w="1170" w:type="dxa"/>
          </w:tcPr>
          <w:p w14:paraId="6F512188" w14:textId="1DA925FB"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11,776</w:t>
            </w:r>
          </w:p>
        </w:tc>
        <w:tc>
          <w:tcPr>
            <w:tcW w:w="1620" w:type="dxa"/>
          </w:tcPr>
          <w:p w14:paraId="16804B21" w14:textId="7D22CC12"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95%</w:t>
            </w:r>
          </w:p>
        </w:tc>
        <w:tc>
          <w:tcPr>
            <w:tcW w:w="1170" w:type="dxa"/>
          </w:tcPr>
          <w:p w14:paraId="52CEFA0B" w14:textId="3AFBD017"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11,136</w:t>
            </w:r>
          </w:p>
        </w:tc>
        <w:tc>
          <w:tcPr>
            <w:tcW w:w="1350" w:type="dxa"/>
          </w:tcPr>
          <w:p w14:paraId="695B55A7" w14:textId="696ADE71"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6FF1E9D1" w14:textId="43E477F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11,136</w:t>
            </w:r>
          </w:p>
        </w:tc>
      </w:tr>
      <w:tr w:rsidR="00C0033C" w14:paraId="07C8166B"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07AFF1F" w14:textId="1971FEAA" w:rsidR="00C0033C" w:rsidRPr="00C0033C" w:rsidRDefault="00C0033C" w:rsidP="00C0033C">
            <w:pPr>
              <w:pStyle w:val="TableLeftText"/>
            </w:pPr>
            <w:r w:rsidRPr="00C0033C">
              <w:rPr>
                <w:rFonts w:cs="Calibri"/>
                <w:color w:val="4A4D56"/>
              </w:rPr>
              <w:t xml:space="preserve">Multifamily – Market Rate </w:t>
            </w:r>
          </w:p>
        </w:tc>
        <w:tc>
          <w:tcPr>
            <w:tcW w:w="1170" w:type="dxa"/>
          </w:tcPr>
          <w:p w14:paraId="699A203A" w14:textId="45436E97"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2,160</w:t>
            </w:r>
          </w:p>
        </w:tc>
        <w:tc>
          <w:tcPr>
            <w:tcW w:w="1620" w:type="dxa"/>
          </w:tcPr>
          <w:p w14:paraId="58D33459" w14:textId="46F65E7D"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w:t>
            </w:r>
          </w:p>
        </w:tc>
        <w:tc>
          <w:tcPr>
            <w:tcW w:w="1170" w:type="dxa"/>
          </w:tcPr>
          <w:p w14:paraId="398C2E06" w14:textId="7493ADC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2,159</w:t>
            </w:r>
          </w:p>
        </w:tc>
        <w:tc>
          <w:tcPr>
            <w:tcW w:w="1350" w:type="dxa"/>
          </w:tcPr>
          <w:p w14:paraId="51CE610A" w14:textId="607DEF33"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0.950</w:t>
            </w:r>
          </w:p>
        </w:tc>
        <w:tc>
          <w:tcPr>
            <w:tcW w:w="982" w:type="dxa"/>
            <w:tcBorders>
              <w:top w:val="single" w:sz="4" w:space="0" w:color="416DCB" w:themeColor="accent1" w:themeTint="99"/>
            </w:tcBorders>
          </w:tcPr>
          <w:p w14:paraId="756D93B2" w14:textId="5A4E5DF4"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2,052</w:t>
            </w:r>
          </w:p>
        </w:tc>
      </w:tr>
      <w:tr w:rsidR="00C0033C" w14:paraId="1D37C241"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210B900" w14:textId="78BC534F" w:rsidR="00C0033C" w:rsidRPr="00C0033C" w:rsidRDefault="00C0033C" w:rsidP="00C0033C">
            <w:pPr>
              <w:pStyle w:val="TableLeftText"/>
            </w:pPr>
            <w:r w:rsidRPr="00C0033C">
              <w:rPr>
                <w:rFonts w:cs="Calibri"/>
                <w:color w:val="4A4D56"/>
              </w:rPr>
              <w:t>Multifamily – Public Housing</w:t>
            </w:r>
          </w:p>
        </w:tc>
        <w:tc>
          <w:tcPr>
            <w:tcW w:w="1170" w:type="dxa"/>
          </w:tcPr>
          <w:p w14:paraId="7695FC54" w14:textId="6BD4E480"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1,614</w:t>
            </w:r>
          </w:p>
        </w:tc>
        <w:tc>
          <w:tcPr>
            <w:tcW w:w="1620" w:type="dxa"/>
          </w:tcPr>
          <w:p w14:paraId="72FE1FB8" w14:textId="614EE46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85%</w:t>
            </w:r>
          </w:p>
        </w:tc>
        <w:tc>
          <w:tcPr>
            <w:tcW w:w="1170" w:type="dxa"/>
          </w:tcPr>
          <w:p w14:paraId="1A13C3C4" w14:textId="2A9E3963"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1,371</w:t>
            </w:r>
          </w:p>
        </w:tc>
        <w:tc>
          <w:tcPr>
            <w:tcW w:w="1350" w:type="dxa"/>
          </w:tcPr>
          <w:p w14:paraId="0349FBAA" w14:textId="130C543F"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48486AD8" w14:textId="5B08C11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1,371</w:t>
            </w:r>
          </w:p>
        </w:tc>
      </w:tr>
      <w:tr w:rsidR="00C0033C" w14:paraId="7C256EC2"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F2403A9" w14:textId="4914E6D0" w:rsidR="00C0033C" w:rsidRPr="00C0033C" w:rsidRDefault="00C0033C" w:rsidP="00C0033C">
            <w:pPr>
              <w:pStyle w:val="TableLeftText"/>
            </w:pPr>
            <w:r w:rsidRPr="00C0033C">
              <w:rPr>
                <w:rFonts w:cs="Calibri"/>
                <w:color w:val="4A4D56"/>
              </w:rPr>
              <w:t>Market Rate Single Family – Midstream HVAC</w:t>
            </w:r>
          </w:p>
        </w:tc>
        <w:tc>
          <w:tcPr>
            <w:tcW w:w="1170" w:type="dxa"/>
          </w:tcPr>
          <w:p w14:paraId="23AD789C" w14:textId="41E79068"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9,885</w:t>
            </w:r>
          </w:p>
        </w:tc>
        <w:tc>
          <w:tcPr>
            <w:tcW w:w="1620" w:type="dxa"/>
          </w:tcPr>
          <w:p w14:paraId="50F8C938" w14:textId="6B9BAD43"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99%</w:t>
            </w:r>
          </w:p>
        </w:tc>
        <w:tc>
          <w:tcPr>
            <w:tcW w:w="1170" w:type="dxa"/>
          </w:tcPr>
          <w:p w14:paraId="734C4D4C" w14:textId="4E52C81E"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9,753</w:t>
            </w:r>
          </w:p>
        </w:tc>
        <w:tc>
          <w:tcPr>
            <w:tcW w:w="1350" w:type="dxa"/>
          </w:tcPr>
          <w:p w14:paraId="513E4249" w14:textId="58D40C93"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0.743</w:t>
            </w:r>
          </w:p>
        </w:tc>
        <w:tc>
          <w:tcPr>
            <w:tcW w:w="982" w:type="dxa"/>
            <w:tcBorders>
              <w:top w:val="single" w:sz="4" w:space="0" w:color="416DCB" w:themeColor="accent1" w:themeTint="99"/>
            </w:tcBorders>
          </w:tcPr>
          <w:p w14:paraId="5C81D717" w14:textId="59F34FE6"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7,248</w:t>
            </w:r>
          </w:p>
        </w:tc>
      </w:tr>
      <w:tr w:rsidR="00C0033C" w14:paraId="146F8EA6"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3170DC6" w14:textId="4EA7714D" w:rsidR="00C0033C" w:rsidRPr="00C0033C" w:rsidRDefault="00C0033C" w:rsidP="00C0033C">
            <w:pPr>
              <w:pStyle w:val="TableLeftText"/>
            </w:pPr>
            <w:r w:rsidRPr="00C0033C">
              <w:rPr>
                <w:rFonts w:cs="Calibri"/>
                <w:color w:val="4A4D56"/>
              </w:rPr>
              <w:t xml:space="preserve">Market Rate Single Family – </w:t>
            </w:r>
            <w:r>
              <w:rPr>
                <w:rFonts w:cs="Calibri"/>
                <w:color w:val="4A4D56"/>
              </w:rPr>
              <w:t>Midstream HVAC</w:t>
            </w:r>
            <w:r w:rsidRPr="00C0033C">
              <w:rPr>
                <w:rFonts w:cs="Calibri"/>
                <w:color w:val="4A4D56"/>
              </w:rPr>
              <w:t xml:space="preserve"> Market Effects</w:t>
            </w:r>
          </w:p>
        </w:tc>
        <w:tc>
          <w:tcPr>
            <w:tcW w:w="1170" w:type="dxa"/>
          </w:tcPr>
          <w:p w14:paraId="66784429" w14:textId="3719E04D"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0</w:t>
            </w:r>
          </w:p>
        </w:tc>
        <w:tc>
          <w:tcPr>
            <w:tcW w:w="1620" w:type="dxa"/>
          </w:tcPr>
          <w:p w14:paraId="2EDBD3EE" w14:textId="76BEBB31"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 xml:space="preserve"> N/A </w:t>
            </w:r>
          </w:p>
        </w:tc>
        <w:tc>
          <w:tcPr>
            <w:tcW w:w="1170" w:type="dxa"/>
          </w:tcPr>
          <w:p w14:paraId="425E0EAD" w14:textId="0E20431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0</w:t>
            </w:r>
          </w:p>
        </w:tc>
        <w:tc>
          <w:tcPr>
            <w:tcW w:w="1350" w:type="dxa"/>
          </w:tcPr>
          <w:p w14:paraId="2D65EC0C" w14:textId="06BB49D7"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N/A</w:t>
            </w:r>
          </w:p>
        </w:tc>
        <w:tc>
          <w:tcPr>
            <w:tcW w:w="982" w:type="dxa"/>
            <w:tcBorders>
              <w:top w:val="single" w:sz="4" w:space="0" w:color="416DCB" w:themeColor="accent1" w:themeTint="99"/>
            </w:tcBorders>
          </w:tcPr>
          <w:p w14:paraId="3A1D6319" w14:textId="5A0C6737"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1,597</w:t>
            </w:r>
          </w:p>
        </w:tc>
      </w:tr>
      <w:tr w:rsidR="00C0033C" w14:paraId="3A765413"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6C0449C" w14:textId="48803E87" w:rsidR="00C0033C" w:rsidRPr="00C0033C" w:rsidRDefault="00C0033C" w:rsidP="00C0033C">
            <w:pPr>
              <w:pStyle w:val="TableLeftText"/>
            </w:pPr>
            <w:r w:rsidRPr="00C0033C">
              <w:rPr>
                <w:rFonts w:cs="Calibri"/>
                <w:color w:val="4A4D56"/>
              </w:rPr>
              <w:t>Market Rate Single Family – Home Efficiency</w:t>
            </w:r>
          </w:p>
        </w:tc>
        <w:tc>
          <w:tcPr>
            <w:tcW w:w="1170" w:type="dxa"/>
          </w:tcPr>
          <w:p w14:paraId="6914C107" w14:textId="7AEBAD29"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146</w:t>
            </w:r>
          </w:p>
        </w:tc>
        <w:tc>
          <w:tcPr>
            <w:tcW w:w="1620" w:type="dxa"/>
          </w:tcPr>
          <w:p w14:paraId="5C3E17C3" w14:textId="3E5F0238"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98%</w:t>
            </w:r>
          </w:p>
        </w:tc>
        <w:tc>
          <w:tcPr>
            <w:tcW w:w="1170" w:type="dxa"/>
          </w:tcPr>
          <w:p w14:paraId="55227519" w14:textId="5DE4EFCA"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143</w:t>
            </w:r>
          </w:p>
        </w:tc>
        <w:tc>
          <w:tcPr>
            <w:tcW w:w="1350" w:type="dxa"/>
          </w:tcPr>
          <w:p w14:paraId="25F31115" w14:textId="32D0033B"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0.830</w:t>
            </w:r>
          </w:p>
        </w:tc>
        <w:tc>
          <w:tcPr>
            <w:tcW w:w="982" w:type="dxa"/>
            <w:tcBorders>
              <w:top w:val="single" w:sz="4" w:space="0" w:color="416DCB" w:themeColor="accent1" w:themeTint="99"/>
            </w:tcBorders>
          </w:tcPr>
          <w:p w14:paraId="78E313AA" w14:textId="7118C905"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118</w:t>
            </w:r>
          </w:p>
        </w:tc>
      </w:tr>
      <w:tr w:rsidR="00C0033C" w14:paraId="1B1E9CF8"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884255B" w14:textId="071F9CBF" w:rsidR="00C0033C" w:rsidRPr="00C0033C" w:rsidRDefault="00C0033C" w:rsidP="00C0033C">
            <w:pPr>
              <w:pStyle w:val="TableLeftText"/>
            </w:pPr>
            <w:r w:rsidRPr="00C0033C">
              <w:rPr>
                <w:rFonts w:cs="Calibri"/>
                <w:color w:val="4A4D56"/>
              </w:rPr>
              <w:t>Kits – Full School Kits</w:t>
            </w:r>
          </w:p>
        </w:tc>
        <w:tc>
          <w:tcPr>
            <w:tcW w:w="1170" w:type="dxa"/>
          </w:tcPr>
          <w:p w14:paraId="309A06B3" w14:textId="62CCF6F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6,470</w:t>
            </w:r>
          </w:p>
        </w:tc>
        <w:tc>
          <w:tcPr>
            <w:tcW w:w="1620" w:type="dxa"/>
          </w:tcPr>
          <w:p w14:paraId="1FFFD76C" w14:textId="6C2C6389"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121%</w:t>
            </w:r>
          </w:p>
        </w:tc>
        <w:tc>
          <w:tcPr>
            <w:tcW w:w="1170" w:type="dxa"/>
          </w:tcPr>
          <w:p w14:paraId="34F80E45" w14:textId="7DF362DF"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7,827</w:t>
            </w:r>
          </w:p>
        </w:tc>
        <w:tc>
          <w:tcPr>
            <w:tcW w:w="1350" w:type="dxa"/>
          </w:tcPr>
          <w:p w14:paraId="2B484436" w14:textId="7D24F89F"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0E6D889D" w14:textId="0E62F67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7,827</w:t>
            </w:r>
          </w:p>
        </w:tc>
      </w:tr>
      <w:tr w:rsidR="00C0033C" w14:paraId="713DA8CD"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07896D6" w14:textId="5882F55F" w:rsidR="00C0033C" w:rsidRPr="00C0033C" w:rsidRDefault="00C0033C" w:rsidP="00C0033C">
            <w:pPr>
              <w:pStyle w:val="TableLeftText"/>
            </w:pPr>
            <w:r w:rsidRPr="00C0033C">
              <w:rPr>
                <w:rFonts w:cs="Calibri"/>
                <w:color w:val="4A4D56"/>
              </w:rPr>
              <w:t>Kits – Joint Utility School Kits</w:t>
            </w:r>
          </w:p>
        </w:tc>
        <w:tc>
          <w:tcPr>
            <w:tcW w:w="1170" w:type="dxa"/>
          </w:tcPr>
          <w:p w14:paraId="2D3F40D2" w14:textId="330C15B4"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713</w:t>
            </w:r>
          </w:p>
        </w:tc>
        <w:tc>
          <w:tcPr>
            <w:tcW w:w="1620" w:type="dxa"/>
          </w:tcPr>
          <w:p w14:paraId="6EA69127" w14:textId="71A96C36"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144%</w:t>
            </w:r>
          </w:p>
        </w:tc>
        <w:tc>
          <w:tcPr>
            <w:tcW w:w="1170" w:type="dxa"/>
          </w:tcPr>
          <w:p w14:paraId="071B7AD9" w14:textId="0BA93AF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1,028</w:t>
            </w:r>
          </w:p>
        </w:tc>
        <w:tc>
          <w:tcPr>
            <w:tcW w:w="1350" w:type="dxa"/>
          </w:tcPr>
          <w:p w14:paraId="44448177" w14:textId="76471BF8"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132799A2" w14:textId="2108F2EE"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1,028</w:t>
            </w:r>
          </w:p>
        </w:tc>
      </w:tr>
      <w:tr w:rsidR="00C0033C" w14:paraId="02D60AF8"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581AF37" w14:textId="4445FC95" w:rsidR="00C0033C" w:rsidRPr="00C0033C" w:rsidRDefault="00C0033C" w:rsidP="00C0033C">
            <w:pPr>
              <w:pStyle w:val="TableLeftText"/>
            </w:pPr>
            <w:r w:rsidRPr="00C0033C">
              <w:rPr>
                <w:rFonts w:cs="Calibri"/>
                <w:color w:val="4A4D56"/>
              </w:rPr>
              <w:t>Kits – High School Innovation</w:t>
            </w:r>
          </w:p>
        </w:tc>
        <w:tc>
          <w:tcPr>
            <w:tcW w:w="1170" w:type="dxa"/>
          </w:tcPr>
          <w:p w14:paraId="3B2BBCCE" w14:textId="4BF7ACC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1,022</w:t>
            </w:r>
          </w:p>
        </w:tc>
        <w:tc>
          <w:tcPr>
            <w:tcW w:w="1620" w:type="dxa"/>
          </w:tcPr>
          <w:p w14:paraId="17F6ECED" w14:textId="77AC478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113%</w:t>
            </w:r>
          </w:p>
        </w:tc>
        <w:tc>
          <w:tcPr>
            <w:tcW w:w="1170" w:type="dxa"/>
          </w:tcPr>
          <w:p w14:paraId="76EBFB83" w14:textId="2740DBD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1,152</w:t>
            </w:r>
          </w:p>
        </w:tc>
        <w:tc>
          <w:tcPr>
            <w:tcW w:w="1350" w:type="dxa"/>
          </w:tcPr>
          <w:p w14:paraId="561CD25D" w14:textId="7E3E79D4"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2ABF2AB4" w14:textId="3DD4B91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1,152</w:t>
            </w:r>
          </w:p>
        </w:tc>
      </w:tr>
      <w:tr w:rsidR="00C0033C" w14:paraId="7DE2C7DE"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75277FE" w14:textId="24CDA9F5" w:rsidR="00C0033C" w:rsidRPr="00C0033C" w:rsidRDefault="00C0033C" w:rsidP="00C0033C">
            <w:pPr>
              <w:pStyle w:val="TableLeftText"/>
            </w:pPr>
            <w:r w:rsidRPr="00C0033C">
              <w:rPr>
                <w:rFonts w:cs="Calibri"/>
                <w:color w:val="4A4D56"/>
              </w:rPr>
              <w:t>Kits – Income Qualified Community Kits</w:t>
            </w:r>
          </w:p>
        </w:tc>
        <w:tc>
          <w:tcPr>
            <w:tcW w:w="1170" w:type="dxa"/>
          </w:tcPr>
          <w:p w14:paraId="71D2154D" w14:textId="00FDE67D"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1,670</w:t>
            </w:r>
          </w:p>
        </w:tc>
        <w:tc>
          <w:tcPr>
            <w:tcW w:w="1620" w:type="dxa"/>
          </w:tcPr>
          <w:p w14:paraId="2388167F" w14:textId="277FEBA7"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w:t>
            </w:r>
          </w:p>
        </w:tc>
        <w:tc>
          <w:tcPr>
            <w:tcW w:w="1170" w:type="dxa"/>
          </w:tcPr>
          <w:p w14:paraId="36D3D2CA" w14:textId="71803FE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1,665</w:t>
            </w:r>
          </w:p>
        </w:tc>
        <w:tc>
          <w:tcPr>
            <w:tcW w:w="1350" w:type="dxa"/>
          </w:tcPr>
          <w:p w14:paraId="774A6240" w14:textId="601F9AC0"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7BA82D67" w14:textId="3780B1A9"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1,665</w:t>
            </w:r>
          </w:p>
        </w:tc>
      </w:tr>
      <w:tr w:rsidR="00C0033C" w14:paraId="56E24FD6"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21AF650" w14:textId="5F2C682D" w:rsidR="00C0033C" w:rsidRPr="00C0033C" w:rsidRDefault="00C0033C" w:rsidP="00C0033C">
            <w:pPr>
              <w:pStyle w:val="TableLeftText"/>
            </w:pPr>
            <w:r w:rsidRPr="00C0033C">
              <w:rPr>
                <w:rFonts w:cs="Calibri"/>
                <w:color w:val="4A4D56"/>
              </w:rPr>
              <w:t>Kits – Mobile Home Kits</w:t>
            </w:r>
          </w:p>
        </w:tc>
        <w:tc>
          <w:tcPr>
            <w:tcW w:w="1170" w:type="dxa"/>
          </w:tcPr>
          <w:p w14:paraId="0F683D86" w14:textId="45A560A3"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216</w:t>
            </w:r>
          </w:p>
        </w:tc>
        <w:tc>
          <w:tcPr>
            <w:tcW w:w="1620" w:type="dxa"/>
          </w:tcPr>
          <w:p w14:paraId="2D0CE4DE" w14:textId="7479225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w:t>
            </w:r>
          </w:p>
        </w:tc>
        <w:tc>
          <w:tcPr>
            <w:tcW w:w="1170" w:type="dxa"/>
          </w:tcPr>
          <w:p w14:paraId="62B4F269" w14:textId="6626FDE7"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216</w:t>
            </w:r>
          </w:p>
        </w:tc>
        <w:tc>
          <w:tcPr>
            <w:tcW w:w="1350" w:type="dxa"/>
          </w:tcPr>
          <w:p w14:paraId="52C49736" w14:textId="00E77DD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5AE9D020" w14:textId="4BD311F8"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216</w:t>
            </w:r>
          </w:p>
        </w:tc>
      </w:tr>
      <w:tr w:rsidR="00C0033C" w14:paraId="3DCB6FEB"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F61D9D6" w14:textId="7B653CC5" w:rsidR="00C0033C" w:rsidRPr="00C0033C" w:rsidRDefault="00C0033C" w:rsidP="00C0033C">
            <w:pPr>
              <w:pStyle w:val="TableLeftText"/>
            </w:pPr>
            <w:r w:rsidRPr="00C0033C">
              <w:rPr>
                <w:rFonts w:cs="Calibri"/>
                <w:color w:val="4A4D56"/>
              </w:rPr>
              <w:t>Kits – BN Kits</w:t>
            </w:r>
          </w:p>
        </w:tc>
        <w:tc>
          <w:tcPr>
            <w:tcW w:w="1170" w:type="dxa"/>
          </w:tcPr>
          <w:p w14:paraId="77EED136" w14:textId="75D94986"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110</w:t>
            </w:r>
          </w:p>
        </w:tc>
        <w:tc>
          <w:tcPr>
            <w:tcW w:w="1620" w:type="dxa"/>
          </w:tcPr>
          <w:p w14:paraId="1FDD0918" w14:textId="2BE6928A"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w:t>
            </w:r>
          </w:p>
        </w:tc>
        <w:tc>
          <w:tcPr>
            <w:tcW w:w="1170" w:type="dxa"/>
          </w:tcPr>
          <w:p w14:paraId="7DB29696" w14:textId="47909186"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110</w:t>
            </w:r>
          </w:p>
        </w:tc>
        <w:tc>
          <w:tcPr>
            <w:tcW w:w="1350" w:type="dxa"/>
          </w:tcPr>
          <w:p w14:paraId="4747F386" w14:textId="102B8FE8"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2E563F69" w14:textId="723C8308"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110</w:t>
            </w:r>
          </w:p>
        </w:tc>
      </w:tr>
      <w:tr w:rsidR="00C0033C" w14:paraId="7FDE61B5"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0FF340E" w14:textId="167BBC40" w:rsidR="00C0033C" w:rsidRPr="00C0033C" w:rsidRDefault="00C0033C" w:rsidP="00C0033C">
            <w:pPr>
              <w:pStyle w:val="TableLeftText"/>
            </w:pPr>
            <w:r w:rsidRPr="00C0033C">
              <w:rPr>
                <w:rFonts w:cs="Calibri"/>
                <w:color w:val="4A4D56"/>
              </w:rPr>
              <w:t>Kits – Food Bank Holiday Kits</w:t>
            </w:r>
          </w:p>
        </w:tc>
        <w:tc>
          <w:tcPr>
            <w:tcW w:w="1170" w:type="dxa"/>
          </w:tcPr>
          <w:p w14:paraId="597CBAAD" w14:textId="23F19DE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1,792</w:t>
            </w:r>
          </w:p>
        </w:tc>
        <w:tc>
          <w:tcPr>
            <w:tcW w:w="1620" w:type="dxa"/>
          </w:tcPr>
          <w:p w14:paraId="21126487" w14:textId="074422D5"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w:t>
            </w:r>
          </w:p>
        </w:tc>
        <w:tc>
          <w:tcPr>
            <w:tcW w:w="1170" w:type="dxa"/>
          </w:tcPr>
          <w:p w14:paraId="59A760A3" w14:textId="5BF8EC6A"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1,792</w:t>
            </w:r>
          </w:p>
        </w:tc>
        <w:tc>
          <w:tcPr>
            <w:tcW w:w="1350" w:type="dxa"/>
          </w:tcPr>
          <w:p w14:paraId="05334601" w14:textId="779290B2"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1B114059" w14:textId="4CC5F5F9"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sidRPr="00C0033C">
              <w:rPr>
                <w:rFonts w:cs="Calibri"/>
                <w:color w:val="4A4D56"/>
              </w:rPr>
              <w:t>1,792</w:t>
            </w:r>
          </w:p>
        </w:tc>
      </w:tr>
      <w:tr w:rsidR="00C0033C" w14:paraId="0C558F24"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1E59913" w14:textId="617A2E4B" w:rsidR="00C0033C" w:rsidRPr="00C0033C" w:rsidRDefault="00C0033C" w:rsidP="00C0033C">
            <w:pPr>
              <w:pStyle w:val="TableLeftText"/>
            </w:pPr>
            <w:r w:rsidRPr="00C0033C">
              <w:rPr>
                <w:rFonts w:cs="Calibri"/>
                <w:color w:val="4A4D56"/>
              </w:rPr>
              <w:t>Kits – Carryover</w:t>
            </w:r>
          </w:p>
        </w:tc>
        <w:tc>
          <w:tcPr>
            <w:tcW w:w="1170" w:type="dxa"/>
          </w:tcPr>
          <w:p w14:paraId="102E74B4" w14:textId="274ECF1C"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0</w:t>
            </w:r>
          </w:p>
        </w:tc>
        <w:tc>
          <w:tcPr>
            <w:tcW w:w="1620" w:type="dxa"/>
          </w:tcPr>
          <w:p w14:paraId="613FC82C" w14:textId="156C332D"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xml:space="preserve"> N/A </w:t>
            </w:r>
          </w:p>
        </w:tc>
        <w:tc>
          <w:tcPr>
            <w:tcW w:w="1170" w:type="dxa"/>
          </w:tcPr>
          <w:p w14:paraId="66EF3552" w14:textId="72F3FC31"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373</w:t>
            </w:r>
          </w:p>
        </w:tc>
        <w:tc>
          <w:tcPr>
            <w:tcW w:w="1350" w:type="dxa"/>
          </w:tcPr>
          <w:p w14:paraId="01DD75DE" w14:textId="151EE28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1.000</w:t>
            </w:r>
          </w:p>
        </w:tc>
        <w:tc>
          <w:tcPr>
            <w:tcW w:w="982" w:type="dxa"/>
            <w:tcBorders>
              <w:top w:val="single" w:sz="4" w:space="0" w:color="416DCB" w:themeColor="accent1" w:themeTint="99"/>
            </w:tcBorders>
          </w:tcPr>
          <w:p w14:paraId="27FF686B" w14:textId="5CE44EB2"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373</w:t>
            </w:r>
          </w:p>
        </w:tc>
      </w:tr>
      <w:tr w:rsidR="00C0033C" w14:paraId="7E0BDC0F"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86F7BD2" w14:textId="070B9D75" w:rsidR="00C0033C" w:rsidRPr="00C0033C" w:rsidRDefault="00C0033C" w:rsidP="00C0033C">
            <w:pPr>
              <w:pStyle w:val="TableLeftText"/>
              <w:rPr>
                <w:i/>
                <w:iCs/>
              </w:rPr>
            </w:pPr>
            <w:r w:rsidRPr="00C0033C">
              <w:rPr>
                <w:rFonts w:cs="Calibri"/>
                <w:i/>
                <w:iCs/>
                <w:color w:val="4A4D56"/>
              </w:rPr>
              <w:t>Residential Program Subtotal</w:t>
            </w:r>
          </w:p>
        </w:tc>
        <w:tc>
          <w:tcPr>
            <w:tcW w:w="1170" w:type="dxa"/>
          </w:tcPr>
          <w:p w14:paraId="17EE1C2F" w14:textId="63A4575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sidRPr="00C0033C">
              <w:rPr>
                <w:rFonts w:cs="Calibri"/>
                <w:i/>
                <w:iCs/>
                <w:color w:val="4A4D56"/>
              </w:rPr>
              <w:t>149,250</w:t>
            </w:r>
          </w:p>
        </w:tc>
        <w:tc>
          <w:tcPr>
            <w:tcW w:w="1620" w:type="dxa"/>
          </w:tcPr>
          <w:p w14:paraId="24BBE8FA" w14:textId="32B7632C"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sidRPr="00C0033C">
              <w:rPr>
                <w:rFonts w:cs="Calibri"/>
                <w:i/>
                <w:iCs/>
                <w:color w:val="4A4D56"/>
              </w:rPr>
              <w:t>99%</w:t>
            </w:r>
          </w:p>
        </w:tc>
        <w:tc>
          <w:tcPr>
            <w:tcW w:w="1170" w:type="dxa"/>
          </w:tcPr>
          <w:p w14:paraId="57E5979C" w14:textId="40645C29"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sidRPr="00C0033C">
              <w:rPr>
                <w:rFonts w:cs="Calibri"/>
                <w:i/>
                <w:iCs/>
                <w:color w:val="4A4D56"/>
              </w:rPr>
              <w:t>157,298</w:t>
            </w:r>
          </w:p>
        </w:tc>
        <w:tc>
          <w:tcPr>
            <w:tcW w:w="1350" w:type="dxa"/>
          </w:tcPr>
          <w:p w14:paraId="1DF61EE1" w14:textId="65306E2E"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sidRPr="00C0033C">
              <w:rPr>
                <w:rFonts w:cs="Calibri"/>
                <w:i/>
                <w:iCs/>
                <w:color w:val="4A4D56"/>
              </w:rPr>
              <w:t>0.910</w:t>
            </w:r>
          </w:p>
        </w:tc>
        <w:tc>
          <w:tcPr>
            <w:tcW w:w="982" w:type="dxa"/>
          </w:tcPr>
          <w:p w14:paraId="060B641A" w14:textId="0DFFBA06" w:rsidR="00C0033C" w:rsidRPr="00C0033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sidRPr="00C0033C">
              <w:rPr>
                <w:rFonts w:cs="Calibri"/>
                <w:i/>
                <w:iCs/>
                <w:color w:val="4A4D56"/>
              </w:rPr>
              <w:t>143,138</w:t>
            </w:r>
          </w:p>
        </w:tc>
      </w:tr>
      <w:tr w:rsidR="00C0033C" w14:paraId="70A6B7F9"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8062882" w14:textId="042C9A9A" w:rsidR="00C0033C" w:rsidRPr="00C0033C" w:rsidRDefault="00C0033C" w:rsidP="00C0033C">
            <w:pPr>
              <w:pStyle w:val="TableLeftText"/>
            </w:pPr>
            <w:r w:rsidRPr="00C0033C">
              <w:rPr>
                <w:rFonts w:cs="Calibri"/>
                <w:color w:val="4A4D56"/>
              </w:rPr>
              <w:t>Residential NPSO Adder</w:t>
            </w:r>
          </w:p>
        </w:tc>
        <w:tc>
          <w:tcPr>
            <w:tcW w:w="1170" w:type="dxa"/>
            <w:shd w:val="thinDiagStripe" w:color="4A4D56" w:themeColor="text1" w:fill="auto"/>
          </w:tcPr>
          <w:p w14:paraId="0F4CBCDA" w14:textId="3E33C928" w:rsidR="00C0033C" w:rsidRPr="00C0033C" w:rsidRDefault="00C0033C" w:rsidP="00C0033C">
            <w:pPr>
              <w:pStyle w:val="TableCenterTex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w:t>
            </w:r>
          </w:p>
        </w:tc>
        <w:tc>
          <w:tcPr>
            <w:tcW w:w="1620" w:type="dxa"/>
            <w:shd w:val="thinDiagStripe" w:color="4A4D56" w:themeColor="text1" w:fill="auto"/>
          </w:tcPr>
          <w:p w14:paraId="0DF59E76" w14:textId="63B8DABF" w:rsidR="00C0033C" w:rsidRPr="00C0033C" w:rsidRDefault="00C0033C" w:rsidP="00C0033C">
            <w:pPr>
              <w:pStyle w:val="TableCenterTex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w:t>
            </w:r>
          </w:p>
        </w:tc>
        <w:tc>
          <w:tcPr>
            <w:tcW w:w="1170" w:type="dxa"/>
            <w:shd w:val="thinDiagStripe" w:color="4A4D56" w:themeColor="text1" w:fill="auto"/>
          </w:tcPr>
          <w:p w14:paraId="22CCCF3D" w14:textId="45ACBBB6" w:rsidR="00C0033C" w:rsidRPr="00C0033C" w:rsidRDefault="00C0033C" w:rsidP="00C0033C">
            <w:pPr>
              <w:pStyle w:val="TableCenterTex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w:t>
            </w:r>
          </w:p>
        </w:tc>
        <w:tc>
          <w:tcPr>
            <w:tcW w:w="1350" w:type="dxa"/>
            <w:shd w:val="thinDiagStripe" w:color="4A4D56" w:themeColor="text1" w:fill="auto"/>
          </w:tcPr>
          <w:p w14:paraId="26371DBF" w14:textId="0EAA054B" w:rsidR="00C0033C" w:rsidRPr="00C0033C" w:rsidRDefault="00C0033C" w:rsidP="00C0033C">
            <w:pPr>
              <w:pStyle w:val="TableCenterText"/>
              <w:cnfStyle w:val="000000010000" w:firstRow="0" w:lastRow="0" w:firstColumn="0" w:lastColumn="0" w:oddVBand="0" w:evenVBand="0" w:oddHBand="0" w:evenHBand="1" w:firstRowFirstColumn="0" w:firstRowLastColumn="0" w:lastRowFirstColumn="0" w:lastRowLastColumn="0"/>
            </w:pPr>
            <w:r w:rsidRPr="00C0033C">
              <w:rPr>
                <w:rFonts w:cs="Calibri"/>
                <w:color w:val="4A4D56"/>
              </w:rPr>
              <w:t> </w:t>
            </w:r>
          </w:p>
        </w:tc>
        <w:tc>
          <w:tcPr>
            <w:tcW w:w="982" w:type="dxa"/>
          </w:tcPr>
          <w:p w14:paraId="2B7CDFE9" w14:textId="2B99CF5C" w:rsidR="00C0033C" w:rsidRPr="00C0033C"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i/>
                <w:iCs/>
              </w:rPr>
            </w:pPr>
            <w:r w:rsidRPr="00C0033C">
              <w:rPr>
                <w:rFonts w:cs="Calibri"/>
                <w:color w:val="4A4D56"/>
              </w:rPr>
              <w:t xml:space="preserve">901 </w:t>
            </w:r>
          </w:p>
        </w:tc>
      </w:tr>
      <w:tr w:rsidR="00C0033C" w14:paraId="41F7DE2D"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D688FEF" w14:textId="21A9843B" w:rsidR="00C0033C" w:rsidRPr="00C0033C" w:rsidRDefault="00C0033C" w:rsidP="00C0033C">
            <w:pPr>
              <w:pStyle w:val="TableTextLeftMedium"/>
              <w:rPr>
                <w:szCs w:val="20"/>
              </w:rPr>
            </w:pPr>
            <w:r w:rsidRPr="00C0033C">
              <w:rPr>
                <w:rFonts w:cs="Calibri"/>
                <w:color w:val="4A4D56"/>
                <w:szCs w:val="20"/>
              </w:rPr>
              <w:t>Residential Program Total</w:t>
            </w:r>
          </w:p>
        </w:tc>
        <w:tc>
          <w:tcPr>
            <w:tcW w:w="1170" w:type="dxa"/>
            <w:shd w:val="thinDiagStripe" w:color="4A4D56" w:themeColor="text1" w:fill="auto"/>
          </w:tcPr>
          <w:p w14:paraId="7F666923" w14:textId="7F42911D" w:rsidR="00C0033C" w:rsidRPr="00C0033C" w:rsidRDefault="00C0033C" w:rsidP="00C0033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C0033C">
              <w:rPr>
                <w:rFonts w:ascii="Franklin Gothic Medium" w:hAnsi="Franklin Gothic Medium" w:cs="Calibri"/>
                <w:b/>
                <w:bCs/>
                <w:color w:val="4A4D56"/>
              </w:rPr>
              <w:t> </w:t>
            </w:r>
          </w:p>
        </w:tc>
        <w:tc>
          <w:tcPr>
            <w:tcW w:w="1620" w:type="dxa"/>
            <w:shd w:val="thinDiagStripe" w:color="4A4D56" w:themeColor="text1" w:fill="auto"/>
          </w:tcPr>
          <w:p w14:paraId="16DC4F17" w14:textId="37C602E4" w:rsidR="00C0033C" w:rsidRPr="00C0033C" w:rsidRDefault="00C0033C" w:rsidP="00C0033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C0033C">
              <w:rPr>
                <w:rFonts w:ascii="Franklin Gothic Medium" w:hAnsi="Franklin Gothic Medium" w:cs="Calibri"/>
                <w:b/>
                <w:bCs/>
                <w:color w:val="4A4D56"/>
              </w:rPr>
              <w:t> </w:t>
            </w:r>
          </w:p>
        </w:tc>
        <w:tc>
          <w:tcPr>
            <w:tcW w:w="1170" w:type="dxa"/>
            <w:shd w:val="thinDiagStripe" w:color="4A4D56" w:themeColor="text1" w:fill="auto"/>
          </w:tcPr>
          <w:p w14:paraId="1CD2E413" w14:textId="4269BA52" w:rsidR="00C0033C" w:rsidRPr="00C0033C" w:rsidRDefault="00C0033C" w:rsidP="00C0033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C0033C">
              <w:rPr>
                <w:rFonts w:ascii="Franklin Gothic Medium" w:hAnsi="Franklin Gothic Medium" w:cs="Calibri"/>
                <w:b/>
                <w:bCs/>
                <w:color w:val="4A4D56"/>
              </w:rPr>
              <w:t> </w:t>
            </w:r>
          </w:p>
        </w:tc>
        <w:tc>
          <w:tcPr>
            <w:tcW w:w="1350" w:type="dxa"/>
            <w:shd w:val="thinDiagStripe" w:color="4A4D56" w:themeColor="text1" w:fill="auto"/>
          </w:tcPr>
          <w:p w14:paraId="618461A6" w14:textId="6D1DBF4B" w:rsidR="00C0033C" w:rsidRPr="00C0033C" w:rsidRDefault="00C0033C" w:rsidP="00C0033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
                <w:bCs/>
              </w:rPr>
            </w:pPr>
            <w:r w:rsidRPr="00C0033C">
              <w:rPr>
                <w:rFonts w:ascii="Franklin Gothic Medium" w:hAnsi="Franklin Gothic Medium" w:cs="Calibri"/>
                <w:b/>
                <w:bCs/>
                <w:color w:val="4A4D56"/>
              </w:rPr>
              <w:t> </w:t>
            </w:r>
          </w:p>
        </w:tc>
        <w:tc>
          <w:tcPr>
            <w:tcW w:w="982" w:type="dxa"/>
          </w:tcPr>
          <w:p w14:paraId="2EA318B7" w14:textId="2940827B" w:rsidR="00C0033C" w:rsidRPr="00C0033C" w:rsidRDefault="00C0033C" w:rsidP="00C0033C">
            <w:pPr>
              <w:pStyle w:val="TableTextLeftMedium"/>
              <w:jc w:val="right"/>
              <w:cnfStyle w:val="000000100000" w:firstRow="0" w:lastRow="0" w:firstColumn="0" w:lastColumn="0" w:oddVBand="0" w:evenVBand="0" w:oddHBand="1" w:evenHBand="0" w:firstRowFirstColumn="0" w:firstRowLastColumn="0" w:lastRowFirstColumn="0" w:lastRowLastColumn="0"/>
              <w:rPr>
                <w:szCs w:val="20"/>
              </w:rPr>
            </w:pPr>
            <w:r w:rsidRPr="00C0033C">
              <w:rPr>
                <w:rFonts w:cs="Calibri"/>
                <w:color w:val="4A4D56"/>
                <w:szCs w:val="20"/>
              </w:rPr>
              <w:t xml:space="preserve">144,038 </w:t>
            </w:r>
          </w:p>
        </w:tc>
      </w:tr>
    </w:tbl>
    <w:p w14:paraId="5D1338F1" w14:textId="77777777" w:rsidR="005C27B9" w:rsidRDefault="005C27B9" w:rsidP="005C27B9">
      <w:pPr>
        <w:spacing w:after="0"/>
        <w:rPr>
          <w:sz w:val="18"/>
          <w:szCs w:val="18"/>
        </w:rPr>
      </w:pPr>
      <w:bookmarkStart w:id="49" w:name="_Ref137461552"/>
      <w:r>
        <w:rPr>
          <w:sz w:val="18"/>
          <w:szCs w:val="18"/>
          <w:vertAlign w:val="superscript"/>
        </w:rPr>
        <w:t>a</w:t>
      </w:r>
      <w:r w:rsidRPr="00F17B37">
        <w:rPr>
          <w:sz w:val="18"/>
          <w:szCs w:val="18"/>
          <w:vertAlign w:val="superscript"/>
        </w:rPr>
        <w:t xml:space="preserve"> </w:t>
      </w:r>
      <w:r>
        <w:rPr>
          <w:sz w:val="18"/>
          <w:szCs w:val="18"/>
        </w:rPr>
        <w:t xml:space="preserve">Calculations of gross realization rate at the Residential Program level exclude categories of savings with no </w:t>
      </w:r>
      <w:proofErr w:type="gramStart"/>
      <w:r>
        <w:rPr>
          <w:sz w:val="18"/>
          <w:szCs w:val="18"/>
        </w:rPr>
        <w:t>ex ante</w:t>
      </w:r>
      <w:proofErr w:type="gramEnd"/>
      <w:r>
        <w:rPr>
          <w:sz w:val="18"/>
          <w:szCs w:val="18"/>
        </w:rPr>
        <w:t xml:space="preserve"> savings.</w:t>
      </w:r>
    </w:p>
    <w:p w14:paraId="457C522A" w14:textId="6AD7A5ED" w:rsidR="005C27B9" w:rsidRDefault="005C27B9" w:rsidP="005C27B9">
      <w:pPr>
        <w:spacing w:before="240"/>
        <w:jc w:val="center"/>
      </w:pPr>
      <w:bookmarkStart w:id="50" w:name="_Ref155175928"/>
      <w:bookmarkStart w:id="51" w:name="_Toc156240732"/>
      <w:bookmarkStart w:id="52" w:name="_Toc161260988"/>
      <w:bookmarkStart w:id="53" w:name="_Toc192774882"/>
      <w:r>
        <w:lastRenderedPageBreak/>
        <w:t xml:space="preserve">Table </w:t>
      </w:r>
      <w:r>
        <w:fldChar w:fldCharType="begin"/>
      </w:r>
      <w:r>
        <w:instrText xml:space="preserve"> SEQ Table \* ARABIC </w:instrText>
      </w:r>
      <w:r>
        <w:fldChar w:fldCharType="separate"/>
      </w:r>
      <w:r w:rsidR="00F8548D">
        <w:rPr>
          <w:noProof/>
        </w:rPr>
        <w:t>8</w:t>
      </w:r>
      <w:r>
        <w:rPr>
          <w:noProof/>
        </w:rPr>
        <w:fldChar w:fldCharType="end"/>
      </w:r>
      <w:bookmarkEnd w:id="49"/>
      <w:bookmarkEnd w:id="50"/>
      <w:r>
        <w:t xml:space="preserve">. </w:t>
      </w:r>
      <w:r w:rsidRPr="00832451">
        <w:t>202</w:t>
      </w:r>
      <w:r w:rsidR="00657D8A">
        <w:t>4</w:t>
      </w:r>
      <w:r w:rsidRPr="00832451">
        <w:t xml:space="preserve"> </w:t>
      </w:r>
      <w:r>
        <w:t>Residential Program</w:t>
      </w:r>
      <w:r w:rsidRPr="00832451">
        <w:t xml:space="preserve"> Electric Demand Annual Savings Summary</w:t>
      </w:r>
      <w:bookmarkEnd w:id="51"/>
      <w:bookmarkEnd w:id="52"/>
      <w:bookmarkEnd w:id="53"/>
    </w:p>
    <w:tbl>
      <w:tblPr>
        <w:tblStyle w:val="ODCBasic-1"/>
        <w:tblW w:w="0" w:type="auto"/>
        <w:tblLayout w:type="fixed"/>
        <w:tblCellMar>
          <w:top w:w="0" w:type="dxa"/>
          <w:bottom w:w="14" w:type="dxa"/>
        </w:tblCellMar>
        <w:tblLook w:val="04A0" w:firstRow="1" w:lastRow="0" w:firstColumn="1" w:lastColumn="0" w:noHBand="0" w:noVBand="1"/>
      </w:tblPr>
      <w:tblGrid>
        <w:gridCol w:w="4765"/>
        <w:gridCol w:w="1170"/>
        <w:gridCol w:w="1620"/>
        <w:gridCol w:w="1170"/>
        <w:gridCol w:w="1350"/>
        <w:gridCol w:w="982"/>
      </w:tblGrid>
      <w:tr w:rsidR="005C27B9" w14:paraId="78E68AC3"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765" w:type="dxa"/>
            <w:tcBorders>
              <w:bottom w:val="single" w:sz="4" w:space="0" w:color="4A4D56" w:themeColor="text1"/>
              <w:right w:val="single" w:sz="4" w:space="0" w:color="4A4D56" w:themeColor="text1"/>
            </w:tcBorders>
          </w:tcPr>
          <w:p w14:paraId="4D68DC37" w14:textId="77777777" w:rsidR="005C27B9" w:rsidRPr="00625570" w:rsidRDefault="005C27B9" w:rsidP="002C7F49">
            <w:pPr>
              <w:pStyle w:val="TableHeadingLeft"/>
            </w:pPr>
            <w:r>
              <w:t>Initiative/Channel</w:t>
            </w:r>
          </w:p>
        </w:tc>
        <w:tc>
          <w:tcPr>
            <w:tcW w:w="1170" w:type="dxa"/>
            <w:tcBorders>
              <w:left w:val="single" w:sz="4" w:space="0" w:color="4A4D56" w:themeColor="text1"/>
              <w:bottom w:val="single" w:sz="4" w:space="0" w:color="4A4D56" w:themeColor="text1"/>
              <w:right w:val="single" w:sz="4" w:space="0" w:color="4A4D56" w:themeColor="text1"/>
            </w:tcBorders>
          </w:tcPr>
          <w:p w14:paraId="4AD50458"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Ex Ante Gross MW</w:t>
            </w:r>
          </w:p>
        </w:tc>
        <w:tc>
          <w:tcPr>
            <w:tcW w:w="1620" w:type="dxa"/>
            <w:tcBorders>
              <w:left w:val="single" w:sz="4" w:space="0" w:color="4A4D56" w:themeColor="text1"/>
              <w:bottom w:val="single" w:sz="4" w:space="0" w:color="4A4D56" w:themeColor="text1"/>
              <w:right w:val="single" w:sz="4" w:space="0" w:color="4A4D56" w:themeColor="text1"/>
            </w:tcBorders>
          </w:tcPr>
          <w:p w14:paraId="6914800E"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Gross Realization Rate</w:t>
            </w:r>
          </w:p>
        </w:tc>
        <w:tc>
          <w:tcPr>
            <w:tcW w:w="1170" w:type="dxa"/>
            <w:tcBorders>
              <w:left w:val="single" w:sz="4" w:space="0" w:color="4A4D56" w:themeColor="text1"/>
              <w:bottom w:val="single" w:sz="4" w:space="0" w:color="4A4D56" w:themeColor="text1"/>
              <w:right w:val="single" w:sz="4" w:space="0" w:color="4A4D56" w:themeColor="text1"/>
            </w:tcBorders>
          </w:tcPr>
          <w:p w14:paraId="52817BFE"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Gross MW</w:t>
            </w:r>
          </w:p>
        </w:tc>
        <w:tc>
          <w:tcPr>
            <w:tcW w:w="1350" w:type="dxa"/>
            <w:tcBorders>
              <w:left w:val="single" w:sz="4" w:space="0" w:color="4A4D56" w:themeColor="text1"/>
              <w:bottom w:val="single" w:sz="4" w:space="0" w:color="4A4D56" w:themeColor="text1"/>
              <w:right w:val="single" w:sz="4" w:space="0" w:color="4A4D56" w:themeColor="text1"/>
            </w:tcBorders>
          </w:tcPr>
          <w:p w14:paraId="4C7E901F"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982" w:type="dxa"/>
            <w:tcBorders>
              <w:left w:val="single" w:sz="4" w:space="0" w:color="4A4D56" w:themeColor="text1"/>
              <w:bottom w:val="single" w:sz="4" w:space="0" w:color="4A4D56" w:themeColor="text1"/>
            </w:tcBorders>
          </w:tcPr>
          <w:p w14:paraId="2E6BCEBA"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Net MW</w:t>
            </w:r>
          </w:p>
        </w:tc>
      </w:tr>
      <w:tr w:rsidR="00C0033C" w14:paraId="42CF76C9"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3F6648D6" w14:textId="352132D0" w:rsidR="00C0033C" w:rsidRPr="00625570" w:rsidRDefault="00C0033C" w:rsidP="00C0033C">
            <w:pPr>
              <w:pStyle w:val="TableLeftText"/>
            </w:pPr>
            <w:r>
              <w:rPr>
                <w:rFonts w:cs="Calibri"/>
                <w:color w:val="4A4D56"/>
              </w:rPr>
              <w:t>Retail Products – Income Qualified</w:t>
            </w:r>
          </w:p>
        </w:tc>
        <w:tc>
          <w:tcPr>
            <w:tcW w:w="1170" w:type="dxa"/>
            <w:tcBorders>
              <w:top w:val="single" w:sz="4" w:space="0" w:color="4A4D56" w:themeColor="text1"/>
            </w:tcBorders>
          </w:tcPr>
          <w:p w14:paraId="52050618" w14:textId="55A736A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18.14</w:t>
            </w:r>
          </w:p>
        </w:tc>
        <w:tc>
          <w:tcPr>
            <w:tcW w:w="1620" w:type="dxa"/>
            <w:tcBorders>
              <w:top w:val="single" w:sz="4" w:space="0" w:color="4A4D56" w:themeColor="text1"/>
            </w:tcBorders>
          </w:tcPr>
          <w:p w14:paraId="25C7A415" w14:textId="0AE9278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57%</w:t>
            </w:r>
          </w:p>
        </w:tc>
        <w:tc>
          <w:tcPr>
            <w:tcW w:w="1170" w:type="dxa"/>
            <w:tcBorders>
              <w:top w:val="single" w:sz="4" w:space="0" w:color="4A4D56" w:themeColor="text1"/>
            </w:tcBorders>
          </w:tcPr>
          <w:p w14:paraId="76EE798A" w14:textId="2D9EEF2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10.39</w:t>
            </w:r>
          </w:p>
        </w:tc>
        <w:tc>
          <w:tcPr>
            <w:tcW w:w="1350" w:type="dxa"/>
            <w:tcBorders>
              <w:top w:val="single" w:sz="4" w:space="0" w:color="4A4D56" w:themeColor="text1"/>
            </w:tcBorders>
          </w:tcPr>
          <w:p w14:paraId="35B9A103" w14:textId="4549044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0.908</w:t>
            </w:r>
          </w:p>
        </w:tc>
        <w:tc>
          <w:tcPr>
            <w:tcW w:w="982" w:type="dxa"/>
            <w:tcBorders>
              <w:top w:val="single" w:sz="4" w:space="0" w:color="4A4D56" w:themeColor="text1"/>
            </w:tcBorders>
          </w:tcPr>
          <w:p w14:paraId="2D62CFED" w14:textId="1D360D9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9.43</w:t>
            </w:r>
          </w:p>
        </w:tc>
      </w:tr>
      <w:tr w:rsidR="00C0033C" w14:paraId="765262ED"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2C0CE5FF" w14:textId="370A284A" w:rsidR="00C0033C" w:rsidRDefault="00C0033C" w:rsidP="00C0033C">
            <w:pPr>
              <w:pStyle w:val="TableLeftText"/>
            </w:pPr>
            <w:r>
              <w:rPr>
                <w:rFonts w:cs="Calibri"/>
                <w:color w:val="4A4D56"/>
              </w:rPr>
              <w:t>Retail Products – Market Rate</w:t>
            </w:r>
          </w:p>
        </w:tc>
        <w:tc>
          <w:tcPr>
            <w:tcW w:w="1170" w:type="dxa"/>
            <w:tcBorders>
              <w:top w:val="single" w:sz="4" w:space="0" w:color="4A4D56" w:themeColor="text1"/>
            </w:tcBorders>
          </w:tcPr>
          <w:p w14:paraId="05E02D79" w14:textId="1BB85F6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4.02</w:t>
            </w:r>
          </w:p>
        </w:tc>
        <w:tc>
          <w:tcPr>
            <w:tcW w:w="1620" w:type="dxa"/>
            <w:tcBorders>
              <w:top w:val="single" w:sz="4" w:space="0" w:color="4A4D56" w:themeColor="text1"/>
            </w:tcBorders>
          </w:tcPr>
          <w:p w14:paraId="043D3987" w14:textId="0B308E98"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99%</w:t>
            </w:r>
          </w:p>
        </w:tc>
        <w:tc>
          <w:tcPr>
            <w:tcW w:w="1170" w:type="dxa"/>
            <w:tcBorders>
              <w:top w:val="single" w:sz="4" w:space="0" w:color="4A4D56" w:themeColor="text1"/>
            </w:tcBorders>
          </w:tcPr>
          <w:p w14:paraId="3BD496DB" w14:textId="60DB1C1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4.00</w:t>
            </w:r>
          </w:p>
        </w:tc>
        <w:tc>
          <w:tcPr>
            <w:tcW w:w="1350" w:type="dxa"/>
            <w:tcBorders>
              <w:top w:val="single" w:sz="4" w:space="0" w:color="4A4D56" w:themeColor="text1"/>
            </w:tcBorders>
          </w:tcPr>
          <w:p w14:paraId="65AC2CD8" w14:textId="50D13AA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0.787</w:t>
            </w:r>
          </w:p>
        </w:tc>
        <w:tc>
          <w:tcPr>
            <w:tcW w:w="982" w:type="dxa"/>
            <w:tcBorders>
              <w:top w:val="single" w:sz="4" w:space="0" w:color="4A4D56" w:themeColor="text1"/>
            </w:tcBorders>
          </w:tcPr>
          <w:p w14:paraId="194139C8" w14:textId="05C4F204"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3.15</w:t>
            </w:r>
          </w:p>
        </w:tc>
      </w:tr>
      <w:tr w:rsidR="00C0033C" w14:paraId="755A11F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7ECBE677" w14:textId="65A46E1A" w:rsidR="00C0033C" w:rsidRDefault="00C0033C" w:rsidP="00C0033C">
            <w:pPr>
              <w:pStyle w:val="TableLeftText"/>
            </w:pPr>
            <w:r>
              <w:rPr>
                <w:rFonts w:cs="Calibri"/>
                <w:color w:val="4A4D56"/>
              </w:rPr>
              <w:t>Retail Products – Income Qualified Carryover</w:t>
            </w:r>
          </w:p>
        </w:tc>
        <w:tc>
          <w:tcPr>
            <w:tcW w:w="1170" w:type="dxa"/>
            <w:tcBorders>
              <w:top w:val="single" w:sz="4" w:space="0" w:color="4A4D56" w:themeColor="text1"/>
            </w:tcBorders>
          </w:tcPr>
          <w:p w14:paraId="6F554EE6" w14:textId="7020DBA5" w:rsidR="00C0033C" w:rsidRPr="00A347A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620" w:type="dxa"/>
            <w:tcBorders>
              <w:top w:val="single" w:sz="4" w:space="0" w:color="4A4D56" w:themeColor="text1"/>
            </w:tcBorders>
          </w:tcPr>
          <w:p w14:paraId="36C0CE82" w14:textId="379740FA" w:rsidR="00C0033C" w:rsidRPr="00A347A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 xml:space="preserve"> N/A </w:t>
            </w:r>
          </w:p>
        </w:tc>
        <w:tc>
          <w:tcPr>
            <w:tcW w:w="1170" w:type="dxa"/>
            <w:tcBorders>
              <w:top w:val="single" w:sz="4" w:space="0" w:color="4A4D56" w:themeColor="text1"/>
            </w:tcBorders>
          </w:tcPr>
          <w:p w14:paraId="1DBF1BEF" w14:textId="40A4905C" w:rsidR="00C0033C" w:rsidRPr="00A347A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0.60</w:t>
            </w:r>
          </w:p>
        </w:tc>
        <w:tc>
          <w:tcPr>
            <w:tcW w:w="1350" w:type="dxa"/>
            <w:tcBorders>
              <w:top w:val="single" w:sz="4" w:space="0" w:color="4A4D56" w:themeColor="text1"/>
            </w:tcBorders>
          </w:tcPr>
          <w:p w14:paraId="479F56F9" w14:textId="0442F596" w:rsidR="00C0033C" w:rsidRPr="00A347A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0.908</w:t>
            </w:r>
          </w:p>
        </w:tc>
        <w:tc>
          <w:tcPr>
            <w:tcW w:w="982" w:type="dxa"/>
            <w:tcBorders>
              <w:top w:val="single" w:sz="4" w:space="0" w:color="4A4D56" w:themeColor="text1"/>
            </w:tcBorders>
          </w:tcPr>
          <w:p w14:paraId="46D85C4F" w14:textId="17D43F01" w:rsidR="00C0033C" w:rsidRPr="00A347AC"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0.55</w:t>
            </w:r>
          </w:p>
        </w:tc>
      </w:tr>
      <w:tr w:rsidR="00C0033C" w14:paraId="18E71F7A"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1B705E0B" w14:textId="43FF0A32" w:rsidR="00C0033C" w:rsidRDefault="00C0033C" w:rsidP="00C0033C">
            <w:pPr>
              <w:pStyle w:val="TableLeftText"/>
            </w:pPr>
            <w:r>
              <w:rPr>
                <w:rFonts w:cs="Calibri"/>
                <w:color w:val="4A4D56"/>
              </w:rPr>
              <w:t>Retail Products – Market Rate Carryover</w:t>
            </w:r>
          </w:p>
        </w:tc>
        <w:tc>
          <w:tcPr>
            <w:tcW w:w="1170" w:type="dxa"/>
            <w:tcBorders>
              <w:top w:val="single" w:sz="4" w:space="0" w:color="4A4D56" w:themeColor="text1"/>
            </w:tcBorders>
          </w:tcPr>
          <w:p w14:paraId="40D484B8" w14:textId="2A36F1D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Borders>
              <w:top w:val="single" w:sz="4" w:space="0" w:color="4A4D56" w:themeColor="text1"/>
            </w:tcBorders>
          </w:tcPr>
          <w:p w14:paraId="33F44D94" w14:textId="18E8782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 xml:space="preserve"> N/A </w:t>
            </w:r>
          </w:p>
        </w:tc>
        <w:tc>
          <w:tcPr>
            <w:tcW w:w="1170" w:type="dxa"/>
            <w:tcBorders>
              <w:top w:val="single" w:sz="4" w:space="0" w:color="4A4D56" w:themeColor="text1"/>
            </w:tcBorders>
          </w:tcPr>
          <w:p w14:paraId="3E50EC39" w14:textId="29557E94"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0.69</w:t>
            </w:r>
          </w:p>
        </w:tc>
        <w:tc>
          <w:tcPr>
            <w:tcW w:w="1350" w:type="dxa"/>
            <w:tcBorders>
              <w:top w:val="single" w:sz="4" w:space="0" w:color="4A4D56" w:themeColor="text1"/>
            </w:tcBorders>
          </w:tcPr>
          <w:p w14:paraId="41832F28" w14:textId="4FE5BF84"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0.713</w:t>
            </w:r>
          </w:p>
        </w:tc>
        <w:tc>
          <w:tcPr>
            <w:tcW w:w="982" w:type="dxa"/>
            <w:tcBorders>
              <w:top w:val="single" w:sz="4" w:space="0" w:color="4A4D56" w:themeColor="text1"/>
            </w:tcBorders>
          </w:tcPr>
          <w:p w14:paraId="60B4F350" w14:textId="3BF11D4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0.49</w:t>
            </w:r>
          </w:p>
        </w:tc>
      </w:tr>
      <w:tr w:rsidR="00C0033C" w14:paraId="5F2AC87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75AF55DF" w14:textId="3D017182" w:rsidR="00C0033C" w:rsidRDefault="00C0033C" w:rsidP="00C0033C">
            <w:pPr>
              <w:pStyle w:val="TableLeftText"/>
            </w:pPr>
            <w:r>
              <w:rPr>
                <w:rFonts w:cs="Calibri"/>
                <w:color w:val="4A4D56"/>
              </w:rPr>
              <w:t>Income Qualified – Single Family</w:t>
            </w:r>
          </w:p>
        </w:tc>
        <w:tc>
          <w:tcPr>
            <w:tcW w:w="1170" w:type="dxa"/>
            <w:tcBorders>
              <w:top w:val="single" w:sz="4" w:space="0" w:color="4A4D56" w:themeColor="text1"/>
            </w:tcBorders>
          </w:tcPr>
          <w:p w14:paraId="627E41F2" w14:textId="7B6C5DD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0.98</w:t>
            </w:r>
          </w:p>
        </w:tc>
        <w:tc>
          <w:tcPr>
            <w:tcW w:w="1620" w:type="dxa"/>
            <w:tcBorders>
              <w:top w:val="single" w:sz="4" w:space="0" w:color="4A4D56" w:themeColor="text1"/>
            </w:tcBorders>
          </w:tcPr>
          <w:p w14:paraId="20B4DD86" w14:textId="0759FF1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96%</w:t>
            </w:r>
          </w:p>
        </w:tc>
        <w:tc>
          <w:tcPr>
            <w:tcW w:w="1170" w:type="dxa"/>
            <w:tcBorders>
              <w:top w:val="single" w:sz="4" w:space="0" w:color="4A4D56" w:themeColor="text1"/>
            </w:tcBorders>
          </w:tcPr>
          <w:p w14:paraId="55A313C7" w14:textId="229BEF7F"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0.94</w:t>
            </w:r>
          </w:p>
        </w:tc>
        <w:tc>
          <w:tcPr>
            <w:tcW w:w="1350" w:type="dxa"/>
            <w:tcBorders>
              <w:top w:val="single" w:sz="4" w:space="0" w:color="4A4D56" w:themeColor="text1"/>
            </w:tcBorders>
          </w:tcPr>
          <w:p w14:paraId="6C3A98AD" w14:textId="533FA25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A4D56" w:themeColor="text1"/>
            </w:tcBorders>
          </w:tcPr>
          <w:p w14:paraId="1F000775" w14:textId="4B42ECB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0.94</w:t>
            </w:r>
          </w:p>
        </w:tc>
      </w:tr>
      <w:tr w:rsidR="00C0033C" w14:paraId="6999373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759DA46" w14:textId="68A311FE" w:rsidR="00C0033C" w:rsidRPr="00625570" w:rsidRDefault="00C0033C" w:rsidP="00C0033C">
            <w:pPr>
              <w:pStyle w:val="TableLeftText"/>
            </w:pPr>
            <w:r>
              <w:rPr>
                <w:rFonts w:cs="Calibri"/>
                <w:color w:val="4A4D56"/>
              </w:rPr>
              <w:t>Income Qualified – CAA</w:t>
            </w:r>
          </w:p>
        </w:tc>
        <w:tc>
          <w:tcPr>
            <w:tcW w:w="1170" w:type="dxa"/>
          </w:tcPr>
          <w:p w14:paraId="1D175CC4" w14:textId="52F629E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0.20</w:t>
            </w:r>
          </w:p>
        </w:tc>
        <w:tc>
          <w:tcPr>
            <w:tcW w:w="1620" w:type="dxa"/>
          </w:tcPr>
          <w:p w14:paraId="244E7A8F" w14:textId="48B304B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1.01</w:t>
            </w:r>
          </w:p>
        </w:tc>
        <w:tc>
          <w:tcPr>
            <w:tcW w:w="1170" w:type="dxa"/>
          </w:tcPr>
          <w:p w14:paraId="71C091FE" w14:textId="16C9EE34"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0.20</w:t>
            </w:r>
          </w:p>
        </w:tc>
        <w:tc>
          <w:tcPr>
            <w:tcW w:w="1350" w:type="dxa"/>
          </w:tcPr>
          <w:p w14:paraId="03ADB982" w14:textId="5BC3FA0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3AB269FF" w14:textId="085D01F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0.20</w:t>
            </w:r>
          </w:p>
        </w:tc>
      </w:tr>
      <w:tr w:rsidR="00C0033C" w14:paraId="506D9F9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5E77805" w14:textId="040C40DA" w:rsidR="00C0033C" w:rsidRDefault="00C0033C" w:rsidP="00C0033C">
            <w:pPr>
              <w:pStyle w:val="TableLeftText"/>
            </w:pPr>
            <w:r>
              <w:rPr>
                <w:rFonts w:cs="Calibri"/>
                <w:color w:val="4A4D56"/>
              </w:rPr>
              <w:t>Income Qualified – Joint Utility</w:t>
            </w:r>
          </w:p>
        </w:tc>
        <w:tc>
          <w:tcPr>
            <w:tcW w:w="1170" w:type="dxa"/>
          </w:tcPr>
          <w:p w14:paraId="0BF41F27" w14:textId="6520917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0.08</w:t>
            </w:r>
          </w:p>
        </w:tc>
        <w:tc>
          <w:tcPr>
            <w:tcW w:w="1620" w:type="dxa"/>
          </w:tcPr>
          <w:p w14:paraId="2F5BCBA6" w14:textId="2D7A14E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103%</w:t>
            </w:r>
          </w:p>
        </w:tc>
        <w:tc>
          <w:tcPr>
            <w:tcW w:w="1170" w:type="dxa"/>
          </w:tcPr>
          <w:p w14:paraId="6FA066C9" w14:textId="3F81512A"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0.08</w:t>
            </w:r>
          </w:p>
        </w:tc>
        <w:tc>
          <w:tcPr>
            <w:tcW w:w="1350" w:type="dxa"/>
          </w:tcPr>
          <w:p w14:paraId="779411CC" w14:textId="5F13914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067BA4CA" w14:textId="0CB8FC2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0.08</w:t>
            </w:r>
          </w:p>
        </w:tc>
      </w:tr>
      <w:tr w:rsidR="00C0033C" w14:paraId="3F4C2C7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8904544" w14:textId="6E062BDB" w:rsidR="00C0033C" w:rsidRDefault="00C0033C" w:rsidP="00C0033C">
            <w:pPr>
              <w:pStyle w:val="TableLeftText"/>
            </w:pPr>
            <w:r>
              <w:rPr>
                <w:rFonts w:cs="Calibri"/>
                <w:color w:val="4A4D56"/>
              </w:rPr>
              <w:t>Income Qualified – Smart Savers</w:t>
            </w:r>
          </w:p>
        </w:tc>
        <w:tc>
          <w:tcPr>
            <w:tcW w:w="1170" w:type="dxa"/>
          </w:tcPr>
          <w:p w14:paraId="71BDFA45" w14:textId="7DCD630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c>
          <w:tcPr>
            <w:tcW w:w="1620" w:type="dxa"/>
          </w:tcPr>
          <w:p w14:paraId="20372E97" w14:textId="4B5DB22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Pr>
          <w:p w14:paraId="000324B6" w14:textId="64895B1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c>
          <w:tcPr>
            <w:tcW w:w="1350" w:type="dxa"/>
          </w:tcPr>
          <w:p w14:paraId="13A40308" w14:textId="0477522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0.997</w:t>
            </w:r>
          </w:p>
        </w:tc>
        <w:tc>
          <w:tcPr>
            <w:tcW w:w="982" w:type="dxa"/>
            <w:tcBorders>
              <w:top w:val="single" w:sz="4" w:space="0" w:color="416DCB" w:themeColor="accent1" w:themeTint="99"/>
            </w:tcBorders>
          </w:tcPr>
          <w:p w14:paraId="16150421" w14:textId="7098484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r>
      <w:tr w:rsidR="00C0033C" w14:paraId="415C97B9"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8526B1E" w14:textId="649BF664" w:rsidR="00C0033C" w:rsidRDefault="00C0033C" w:rsidP="00C0033C">
            <w:pPr>
              <w:pStyle w:val="TableLeftText"/>
            </w:pPr>
            <w:r>
              <w:rPr>
                <w:rFonts w:cs="Calibri"/>
                <w:color w:val="4A4D56"/>
              </w:rPr>
              <w:t xml:space="preserve">Income Qualified – MHAS </w:t>
            </w:r>
          </w:p>
        </w:tc>
        <w:tc>
          <w:tcPr>
            <w:tcW w:w="1170" w:type="dxa"/>
          </w:tcPr>
          <w:p w14:paraId="3CE4418E" w14:textId="4E48406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0.06</w:t>
            </w:r>
          </w:p>
        </w:tc>
        <w:tc>
          <w:tcPr>
            <w:tcW w:w="1620" w:type="dxa"/>
          </w:tcPr>
          <w:p w14:paraId="1BB3AE65" w14:textId="44DAB23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113%</w:t>
            </w:r>
          </w:p>
        </w:tc>
        <w:tc>
          <w:tcPr>
            <w:tcW w:w="1170" w:type="dxa"/>
          </w:tcPr>
          <w:p w14:paraId="573608F2" w14:textId="14F3ADD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0.07</w:t>
            </w:r>
          </w:p>
        </w:tc>
        <w:tc>
          <w:tcPr>
            <w:tcW w:w="1350" w:type="dxa"/>
          </w:tcPr>
          <w:p w14:paraId="4F0204DA" w14:textId="635FE97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1B811057" w14:textId="718D53F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0.07</w:t>
            </w:r>
          </w:p>
        </w:tc>
      </w:tr>
      <w:tr w:rsidR="00C0033C" w14:paraId="5043263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8355DF0" w14:textId="37D069B2" w:rsidR="00C0033C" w:rsidRDefault="00C0033C" w:rsidP="00C0033C">
            <w:pPr>
              <w:pStyle w:val="TableLeftText"/>
            </w:pPr>
            <w:r>
              <w:rPr>
                <w:rFonts w:cs="Calibri"/>
                <w:color w:val="4A4D56"/>
              </w:rPr>
              <w:t>Income Qualified – Healthier Homes</w:t>
            </w:r>
          </w:p>
        </w:tc>
        <w:tc>
          <w:tcPr>
            <w:tcW w:w="1170" w:type="dxa"/>
          </w:tcPr>
          <w:p w14:paraId="52618FD6" w14:textId="5173B44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0.02</w:t>
            </w:r>
          </w:p>
        </w:tc>
        <w:tc>
          <w:tcPr>
            <w:tcW w:w="1620" w:type="dxa"/>
          </w:tcPr>
          <w:p w14:paraId="03D7E1CF" w14:textId="5ED7966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101%</w:t>
            </w:r>
          </w:p>
        </w:tc>
        <w:tc>
          <w:tcPr>
            <w:tcW w:w="1170" w:type="dxa"/>
          </w:tcPr>
          <w:p w14:paraId="0BFE663E" w14:textId="0FB1D75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0.02</w:t>
            </w:r>
          </w:p>
        </w:tc>
        <w:tc>
          <w:tcPr>
            <w:tcW w:w="1350" w:type="dxa"/>
          </w:tcPr>
          <w:p w14:paraId="39A51A29" w14:textId="34A004D8"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0DE9753C" w14:textId="79E6A82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0.02</w:t>
            </w:r>
          </w:p>
        </w:tc>
      </w:tr>
      <w:tr w:rsidR="00C0033C" w14:paraId="5367825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B1DADEC" w14:textId="41F869FD" w:rsidR="00C0033C" w:rsidRDefault="00C0033C" w:rsidP="00C0033C">
            <w:pPr>
              <w:pStyle w:val="TableLeftText"/>
            </w:pPr>
            <w:r>
              <w:rPr>
                <w:rFonts w:cs="Calibri"/>
                <w:color w:val="4A4D56"/>
              </w:rPr>
              <w:t>Income Qualified – Electrification</w:t>
            </w:r>
          </w:p>
        </w:tc>
        <w:tc>
          <w:tcPr>
            <w:tcW w:w="1170" w:type="dxa"/>
          </w:tcPr>
          <w:p w14:paraId="7CA61B6F" w14:textId="7206F5D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c>
          <w:tcPr>
            <w:tcW w:w="1620" w:type="dxa"/>
          </w:tcPr>
          <w:p w14:paraId="0B777653" w14:textId="1012E8C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159%</w:t>
            </w:r>
          </w:p>
        </w:tc>
        <w:tc>
          <w:tcPr>
            <w:tcW w:w="1170" w:type="dxa"/>
          </w:tcPr>
          <w:p w14:paraId="01031184" w14:textId="40796E9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c>
          <w:tcPr>
            <w:tcW w:w="1350" w:type="dxa"/>
          </w:tcPr>
          <w:p w14:paraId="6DC3B3BE" w14:textId="0D937AB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07D3621C" w14:textId="6DD736E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r>
      <w:tr w:rsidR="00C0033C" w14:paraId="1906314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5005052" w14:textId="012BF58C" w:rsidR="00C0033C" w:rsidRDefault="00C0033C" w:rsidP="00C0033C">
            <w:pPr>
              <w:pStyle w:val="TableLeftText"/>
            </w:pPr>
            <w:r>
              <w:rPr>
                <w:rFonts w:cs="Calibri"/>
                <w:color w:val="4A4D56"/>
              </w:rPr>
              <w:t>Income Qualified – Carryover</w:t>
            </w:r>
          </w:p>
        </w:tc>
        <w:tc>
          <w:tcPr>
            <w:tcW w:w="1170" w:type="dxa"/>
          </w:tcPr>
          <w:p w14:paraId="38163846" w14:textId="0E77BD6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Pr>
          <w:p w14:paraId="4779B124" w14:textId="22AAAF9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 xml:space="preserve"> N/A </w:t>
            </w:r>
          </w:p>
        </w:tc>
        <w:tc>
          <w:tcPr>
            <w:tcW w:w="1170" w:type="dxa"/>
          </w:tcPr>
          <w:p w14:paraId="228D9882" w14:textId="091F8459"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0.004</w:t>
            </w:r>
          </w:p>
        </w:tc>
        <w:tc>
          <w:tcPr>
            <w:tcW w:w="1350" w:type="dxa"/>
          </w:tcPr>
          <w:p w14:paraId="2D207251" w14:textId="1924FA8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50CE6504" w14:textId="3AACB57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0.004</w:t>
            </w:r>
          </w:p>
        </w:tc>
      </w:tr>
      <w:tr w:rsidR="00C0033C" w14:paraId="2EBC284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D9C6C8C" w14:textId="505547C9" w:rsidR="00C0033C" w:rsidRDefault="00C0033C" w:rsidP="00C0033C">
            <w:pPr>
              <w:pStyle w:val="TableLeftText"/>
            </w:pPr>
            <w:r>
              <w:rPr>
                <w:rFonts w:cs="Calibri"/>
                <w:color w:val="4A4D56"/>
              </w:rPr>
              <w:t xml:space="preserve">Multifamily – Income Qualified </w:t>
            </w:r>
          </w:p>
        </w:tc>
        <w:tc>
          <w:tcPr>
            <w:tcW w:w="1170" w:type="dxa"/>
          </w:tcPr>
          <w:p w14:paraId="14FCF9D9" w14:textId="72AFC53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0.65</w:t>
            </w:r>
          </w:p>
        </w:tc>
        <w:tc>
          <w:tcPr>
            <w:tcW w:w="1620" w:type="dxa"/>
          </w:tcPr>
          <w:p w14:paraId="4809BC25" w14:textId="5C2D5E4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85%</w:t>
            </w:r>
          </w:p>
        </w:tc>
        <w:tc>
          <w:tcPr>
            <w:tcW w:w="1170" w:type="dxa"/>
          </w:tcPr>
          <w:p w14:paraId="3883A7C4" w14:textId="538632A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0.55</w:t>
            </w:r>
          </w:p>
        </w:tc>
        <w:tc>
          <w:tcPr>
            <w:tcW w:w="1350" w:type="dxa"/>
          </w:tcPr>
          <w:p w14:paraId="2DC7D941" w14:textId="5E51928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66E65E4A" w14:textId="7A6FDDF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0.55</w:t>
            </w:r>
          </w:p>
        </w:tc>
      </w:tr>
      <w:tr w:rsidR="00C0033C" w14:paraId="5435319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3612A9F" w14:textId="66E16B82" w:rsidR="00C0033C" w:rsidRDefault="00C0033C" w:rsidP="00C0033C">
            <w:pPr>
              <w:pStyle w:val="TableLeftText"/>
            </w:pPr>
            <w:r>
              <w:rPr>
                <w:rFonts w:cs="Calibri"/>
                <w:color w:val="4A4D56"/>
              </w:rPr>
              <w:t xml:space="preserve">Multifamily – Market Rate </w:t>
            </w:r>
          </w:p>
        </w:tc>
        <w:tc>
          <w:tcPr>
            <w:tcW w:w="1170" w:type="dxa"/>
          </w:tcPr>
          <w:p w14:paraId="41ACC38B" w14:textId="70E64B1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0.28</w:t>
            </w:r>
          </w:p>
        </w:tc>
        <w:tc>
          <w:tcPr>
            <w:tcW w:w="1620" w:type="dxa"/>
          </w:tcPr>
          <w:p w14:paraId="1BD684AA" w14:textId="4DDABA2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Pr>
          <w:p w14:paraId="0FAC2715" w14:textId="5B23F7B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0.28</w:t>
            </w:r>
          </w:p>
        </w:tc>
        <w:tc>
          <w:tcPr>
            <w:tcW w:w="1350" w:type="dxa"/>
          </w:tcPr>
          <w:p w14:paraId="5A640261" w14:textId="0DE3960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0.984</w:t>
            </w:r>
          </w:p>
        </w:tc>
        <w:tc>
          <w:tcPr>
            <w:tcW w:w="982" w:type="dxa"/>
            <w:tcBorders>
              <w:top w:val="single" w:sz="4" w:space="0" w:color="416DCB" w:themeColor="accent1" w:themeTint="99"/>
            </w:tcBorders>
          </w:tcPr>
          <w:p w14:paraId="49BC3474" w14:textId="6F0057B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0.28</w:t>
            </w:r>
          </w:p>
        </w:tc>
      </w:tr>
      <w:tr w:rsidR="00C0033C" w14:paraId="3F0DFEED"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7BC3377" w14:textId="75F434D7" w:rsidR="00C0033C" w:rsidRPr="00832451" w:rsidRDefault="00C0033C" w:rsidP="00C0033C">
            <w:pPr>
              <w:pStyle w:val="TableLeftText"/>
              <w:rPr>
                <w:vertAlign w:val="superscript"/>
              </w:rPr>
            </w:pPr>
            <w:r>
              <w:rPr>
                <w:rFonts w:cs="Calibri"/>
                <w:color w:val="4A4D56"/>
              </w:rPr>
              <w:t>Multifamily – Public Housing</w:t>
            </w:r>
          </w:p>
        </w:tc>
        <w:tc>
          <w:tcPr>
            <w:tcW w:w="1170" w:type="dxa"/>
          </w:tcPr>
          <w:p w14:paraId="2A0F2C41" w14:textId="349C13E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c>
          <w:tcPr>
            <w:tcW w:w="1620" w:type="dxa"/>
          </w:tcPr>
          <w:p w14:paraId="23219328" w14:textId="62B4E2E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147%</w:t>
            </w:r>
          </w:p>
        </w:tc>
        <w:tc>
          <w:tcPr>
            <w:tcW w:w="1170" w:type="dxa"/>
          </w:tcPr>
          <w:p w14:paraId="5A171B54" w14:textId="5072A60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c>
          <w:tcPr>
            <w:tcW w:w="1350" w:type="dxa"/>
          </w:tcPr>
          <w:p w14:paraId="43804F64" w14:textId="5957D453"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2C727C0E" w14:textId="19794B1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-0.01</w:t>
            </w:r>
          </w:p>
        </w:tc>
      </w:tr>
      <w:tr w:rsidR="00C0033C" w14:paraId="2B56834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6F99BC6" w14:textId="3E6F2D91" w:rsidR="00C0033C" w:rsidRDefault="00C0033C" w:rsidP="00C0033C">
            <w:pPr>
              <w:pStyle w:val="TableLeftText"/>
            </w:pPr>
            <w:r>
              <w:rPr>
                <w:rFonts w:cs="Calibri"/>
                <w:color w:val="4A4D56"/>
              </w:rPr>
              <w:t>Market Rate Single Family – Midstream HVAC</w:t>
            </w:r>
          </w:p>
        </w:tc>
        <w:tc>
          <w:tcPr>
            <w:tcW w:w="1170" w:type="dxa"/>
          </w:tcPr>
          <w:p w14:paraId="00D9ADF6" w14:textId="4A33F9A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2.04</w:t>
            </w:r>
          </w:p>
        </w:tc>
        <w:tc>
          <w:tcPr>
            <w:tcW w:w="1620" w:type="dxa"/>
          </w:tcPr>
          <w:p w14:paraId="39F35E3B" w14:textId="46FD5DA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Pr>
          <w:p w14:paraId="4872C930" w14:textId="00FF7FC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2.04</w:t>
            </w:r>
          </w:p>
        </w:tc>
        <w:tc>
          <w:tcPr>
            <w:tcW w:w="1350" w:type="dxa"/>
          </w:tcPr>
          <w:p w14:paraId="769D0DE0" w14:textId="64D6C00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0.743</w:t>
            </w:r>
          </w:p>
        </w:tc>
        <w:tc>
          <w:tcPr>
            <w:tcW w:w="982" w:type="dxa"/>
            <w:tcBorders>
              <w:top w:val="single" w:sz="4" w:space="0" w:color="416DCB" w:themeColor="accent1" w:themeTint="99"/>
            </w:tcBorders>
          </w:tcPr>
          <w:p w14:paraId="022A499B" w14:textId="1D919D3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1.52</w:t>
            </w:r>
          </w:p>
        </w:tc>
      </w:tr>
      <w:tr w:rsidR="00C0033C" w14:paraId="7F0E764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0F6BE3E" w14:textId="0A7DF976" w:rsidR="00C0033C" w:rsidRDefault="00C0033C" w:rsidP="00C0033C">
            <w:pPr>
              <w:pStyle w:val="TableLeftText"/>
            </w:pPr>
            <w:r w:rsidRPr="00C0033C">
              <w:rPr>
                <w:rFonts w:cs="Calibri"/>
                <w:color w:val="4A4D56"/>
              </w:rPr>
              <w:t xml:space="preserve">Market Rate Single Family – </w:t>
            </w:r>
            <w:r>
              <w:rPr>
                <w:rFonts w:cs="Calibri"/>
                <w:color w:val="4A4D56"/>
              </w:rPr>
              <w:t>Midstream HVAC</w:t>
            </w:r>
            <w:r w:rsidRPr="00C0033C">
              <w:rPr>
                <w:rFonts w:cs="Calibri"/>
                <w:color w:val="4A4D56"/>
              </w:rPr>
              <w:t xml:space="preserve"> Market Effects</w:t>
            </w:r>
          </w:p>
        </w:tc>
        <w:tc>
          <w:tcPr>
            <w:tcW w:w="1170" w:type="dxa"/>
          </w:tcPr>
          <w:p w14:paraId="04ED28A5" w14:textId="447F1C0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620" w:type="dxa"/>
          </w:tcPr>
          <w:p w14:paraId="193CE66F" w14:textId="5B63DEB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70" w:type="dxa"/>
          </w:tcPr>
          <w:p w14:paraId="5060F568" w14:textId="2163CA9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350" w:type="dxa"/>
          </w:tcPr>
          <w:p w14:paraId="32B382C1" w14:textId="0C6051A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single" w:sz="4" w:space="0" w:color="416DCB" w:themeColor="accent1" w:themeTint="99"/>
            </w:tcBorders>
          </w:tcPr>
          <w:p w14:paraId="2BABF623" w14:textId="6629807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0.28</w:t>
            </w:r>
          </w:p>
        </w:tc>
      </w:tr>
      <w:tr w:rsidR="00C0033C" w14:paraId="1489F51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8DB77C6" w14:textId="5382A798" w:rsidR="00C0033C" w:rsidRDefault="00C0033C" w:rsidP="00C0033C">
            <w:pPr>
              <w:pStyle w:val="TableLeftText"/>
            </w:pPr>
            <w:r>
              <w:rPr>
                <w:rFonts w:cs="Calibri"/>
                <w:color w:val="4A4D56"/>
              </w:rPr>
              <w:t>Market Rate Single Family – Home Efficiency</w:t>
            </w:r>
          </w:p>
        </w:tc>
        <w:tc>
          <w:tcPr>
            <w:tcW w:w="1170" w:type="dxa"/>
          </w:tcPr>
          <w:p w14:paraId="468ED0F4" w14:textId="5664590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0.06</w:t>
            </w:r>
          </w:p>
        </w:tc>
        <w:tc>
          <w:tcPr>
            <w:tcW w:w="1620" w:type="dxa"/>
          </w:tcPr>
          <w:p w14:paraId="6FF2FB4D" w14:textId="62B7F6B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Pr>
          <w:p w14:paraId="579FB0EF" w14:textId="4681E6B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0.06</w:t>
            </w:r>
          </w:p>
        </w:tc>
        <w:tc>
          <w:tcPr>
            <w:tcW w:w="1350" w:type="dxa"/>
          </w:tcPr>
          <w:p w14:paraId="24539353" w14:textId="007DA2FA"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0.840</w:t>
            </w:r>
          </w:p>
        </w:tc>
        <w:tc>
          <w:tcPr>
            <w:tcW w:w="982" w:type="dxa"/>
            <w:tcBorders>
              <w:top w:val="single" w:sz="4" w:space="0" w:color="416DCB" w:themeColor="accent1" w:themeTint="99"/>
            </w:tcBorders>
          </w:tcPr>
          <w:p w14:paraId="35478A1B" w14:textId="6EE1FAC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0.05</w:t>
            </w:r>
          </w:p>
        </w:tc>
      </w:tr>
      <w:tr w:rsidR="00C0033C" w14:paraId="41B5ED2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B8B5D0E" w14:textId="3E3B8C0C" w:rsidR="00C0033C" w:rsidRDefault="00C0033C" w:rsidP="00C0033C">
            <w:pPr>
              <w:pStyle w:val="TableLeftText"/>
            </w:pPr>
            <w:r>
              <w:rPr>
                <w:rFonts w:cs="Calibri"/>
                <w:color w:val="4A4D56"/>
              </w:rPr>
              <w:t>Kits – Full School Kits</w:t>
            </w:r>
          </w:p>
        </w:tc>
        <w:tc>
          <w:tcPr>
            <w:tcW w:w="1170" w:type="dxa"/>
          </w:tcPr>
          <w:p w14:paraId="7C7D8752" w14:textId="0D78735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0.99</w:t>
            </w:r>
          </w:p>
        </w:tc>
        <w:tc>
          <w:tcPr>
            <w:tcW w:w="1620" w:type="dxa"/>
          </w:tcPr>
          <w:p w14:paraId="76BD5F8E" w14:textId="60EE89C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116%</w:t>
            </w:r>
          </w:p>
        </w:tc>
        <w:tc>
          <w:tcPr>
            <w:tcW w:w="1170" w:type="dxa"/>
          </w:tcPr>
          <w:p w14:paraId="5A07B3B6" w14:textId="3A29879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1.15</w:t>
            </w:r>
          </w:p>
        </w:tc>
        <w:tc>
          <w:tcPr>
            <w:tcW w:w="1350" w:type="dxa"/>
          </w:tcPr>
          <w:p w14:paraId="748620F6" w14:textId="6642967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58AB6105" w14:textId="23928C47"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1.15</w:t>
            </w:r>
          </w:p>
        </w:tc>
      </w:tr>
      <w:tr w:rsidR="00C0033C" w14:paraId="14181D7D"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B5715E7" w14:textId="7CD390A4" w:rsidR="00C0033C" w:rsidRDefault="00C0033C" w:rsidP="00C0033C">
            <w:pPr>
              <w:pStyle w:val="TableLeftText"/>
            </w:pPr>
            <w:r>
              <w:rPr>
                <w:rFonts w:cs="Calibri"/>
                <w:color w:val="4A4D56"/>
              </w:rPr>
              <w:t>Kits – Joint Utility School Kits</w:t>
            </w:r>
          </w:p>
        </w:tc>
        <w:tc>
          <w:tcPr>
            <w:tcW w:w="1170" w:type="dxa"/>
          </w:tcPr>
          <w:p w14:paraId="56F035FA" w14:textId="5B60D9D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c>
          <w:tcPr>
            <w:tcW w:w="1620" w:type="dxa"/>
          </w:tcPr>
          <w:p w14:paraId="5853A9C9" w14:textId="2D90F2A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96%</w:t>
            </w:r>
          </w:p>
        </w:tc>
        <w:tc>
          <w:tcPr>
            <w:tcW w:w="1170" w:type="dxa"/>
          </w:tcPr>
          <w:p w14:paraId="1CA5686D" w14:textId="2CBAC93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c>
          <w:tcPr>
            <w:tcW w:w="1350" w:type="dxa"/>
          </w:tcPr>
          <w:p w14:paraId="10A3E05D" w14:textId="14C5175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79E2FD30" w14:textId="681C794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0.15</w:t>
            </w:r>
          </w:p>
        </w:tc>
      </w:tr>
      <w:tr w:rsidR="00C0033C" w14:paraId="258B641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C301268" w14:textId="2748780C" w:rsidR="00C0033C" w:rsidRDefault="00C0033C" w:rsidP="00C0033C">
            <w:pPr>
              <w:pStyle w:val="TableLeftText"/>
              <w:keepNext/>
              <w:keepLines/>
            </w:pPr>
            <w:r>
              <w:rPr>
                <w:rFonts w:cs="Calibri"/>
                <w:color w:val="4A4D56"/>
              </w:rPr>
              <w:t>Kits – High School Innovation</w:t>
            </w:r>
          </w:p>
        </w:tc>
        <w:tc>
          <w:tcPr>
            <w:tcW w:w="1170" w:type="dxa"/>
          </w:tcPr>
          <w:p w14:paraId="5B3F235B" w14:textId="22323E5A"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0.15</w:t>
            </w:r>
          </w:p>
        </w:tc>
        <w:tc>
          <w:tcPr>
            <w:tcW w:w="1620" w:type="dxa"/>
          </w:tcPr>
          <w:p w14:paraId="203C3267" w14:textId="7C8EBBF0"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105%</w:t>
            </w:r>
          </w:p>
        </w:tc>
        <w:tc>
          <w:tcPr>
            <w:tcW w:w="1170" w:type="dxa"/>
          </w:tcPr>
          <w:p w14:paraId="406652D0" w14:textId="0ACCDDB4"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0.16</w:t>
            </w:r>
          </w:p>
        </w:tc>
        <w:tc>
          <w:tcPr>
            <w:tcW w:w="1350" w:type="dxa"/>
          </w:tcPr>
          <w:p w14:paraId="3083D4A6" w14:textId="7061EB13"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4C81AB09" w14:textId="778429F1"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0.16</w:t>
            </w:r>
          </w:p>
        </w:tc>
      </w:tr>
      <w:tr w:rsidR="00C0033C" w14:paraId="352CFFB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D2203A1" w14:textId="2449EE13" w:rsidR="00C0033C" w:rsidRDefault="00C0033C" w:rsidP="00C0033C">
            <w:pPr>
              <w:pStyle w:val="TableLeftText"/>
              <w:keepNext/>
              <w:keepLines/>
            </w:pPr>
            <w:r>
              <w:rPr>
                <w:rFonts w:cs="Calibri"/>
                <w:color w:val="4A4D56"/>
              </w:rPr>
              <w:t>Kits – Income Qualified Community Kits</w:t>
            </w:r>
          </w:p>
        </w:tc>
        <w:tc>
          <w:tcPr>
            <w:tcW w:w="1170" w:type="dxa"/>
          </w:tcPr>
          <w:p w14:paraId="1CF23F56" w14:textId="433F1B8E"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0.22</w:t>
            </w:r>
          </w:p>
        </w:tc>
        <w:tc>
          <w:tcPr>
            <w:tcW w:w="1620" w:type="dxa"/>
          </w:tcPr>
          <w:p w14:paraId="147485DC" w14:textId="6710E974"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98%</w:t>
            </w:r>
          </w:p>
        </w:tc>
        <w:tc>
          <w:tcPr>
            <w:tcW w:w="1170" w:type="dxa"/>
          </w:tcPr>
          <w:p w14:paraId="55400490" w14:textId="0ED9034D"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0.21</w:t>
            </w:r>
          </w:p>
        </w:tc>
        <w:tc>
          <w:tcPr>
            <w:tcW w:w="1350" w:type="dxa"/>
          </w:tcPr>
          <w:p w14:paraId="13FBF8A2" w14:textId="366053A0"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447E1D0B" w14:textId="2874F2E0"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0.21</w:t>
            </w:r>
          </w:p>
        </w:tc>
      </w:tr>
      <w:tr w:rsidR="00C0033C" w14:paraId="48A642F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F944BAC" w14:textId="2996355F" w:rsidR="00C0033C" w:rsidRDefault="00C0033C" w:rsidP="00C0033C">
            <w:pPr>
              <w:pStyle w:val="TableLeftText"/>
              <w:keepNext/>
              <w:keepLines/>
            </w:pPr>
            <w:r>
              <w:rPr>
                <w:rFonts w:cs="Calibri"/>
                <w:color w:val="4A4D56"/>
              </w:rPr>
              <w:t>Kits – Mobile Home Kits</w:t>
            </w:r>
          </w:p>
        </w:tc>
        <w:tc>
          <w:tcPr>
            <w:tcW w:w="1170" w:type="dxa"/>
          </w:tcPr>
          <w:p w14:paraId="3727E4F2" w14:textId="028A479F"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0.03</w:t>
            </w:r>
          </w:p>
        </w:tc>
        <w:tc>
          <w:tcPr>
            <w:tcW w:w="1620" w:type="dxa"/>
          </w:tcPr>
          <w:p w14:paraId="1086DB21" w14:textId="0DEA4487"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170" w:type="dxa"/>
          </w:tcPr>
          <w:p w14:paraId="209131D8" w14:textId="6F53B780"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0.03</w:t>
            </w:r>
          </w:p>
        </w:tc>
        <w:tc>
          <w:tcPr>
            <w:tcW w:w="1350" w:type="dxa"/>
          </w:tcPr>
          <w:p w14:paraId="7D31EF6D" w14:textId="79B38CC7"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7FBB1F21" w14:textId="782CA20E"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0.03</w:t>
            </w:r>
          </w:p>
        </w:tc>
      </w:tr>
      <w:tr w:rsidR="00C0033C" w14:paraId="10F2445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4C76E19" w14:textId="6351E55A" w:rsidR="00C0033C" w:rsidRDefault="00C0033C" w:rsidP="00C0033C">
            <w:pPr>
              <w:pStyle w:val="TableLeftText"/>
              <w:keepNext/>
              <w:keepLines/>
            </w:pPr>
            <w:r>
              <w:rPr>
                <w:rFonts w:cs="Calibri"/>
                <w:color w:val="4A4D56"/>
              </w:rPr>
              <w:t>Kits – BN Kits</w:t>
            </w:r>
          </w:p>
        </w:tc>
        <w:tc>
          <w:tcPr>
            <w:tcW w:w="1170" w:type="dxa"/>
          </w:tcPr>
          <w:p w14:paraId="31D7863B" w14:textId="57D887AF"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0.01</w:t>
            </w:r>
          </w:p>
        </w:tc>
        <w:tc>
          <w:tcPr>
            <w:tcW w:w="1620" w:type="dxa"/>
          </w:tcPr>
          <w:p w14:paraId="34455469" w14:textId="28DA242F"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Pr>
          <w:p w14:paraId="62C404DA" w14:textId="53AAF038"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0.01</w:t>
            </w:r>
          </w:p>
        </w:tc>
        <w:tc>
          <w:tcPr>
            <w:tcW w:w="1350" w:type="dxa"/>
          </w:tcPr>
          <w:p w14:paraId="14FB0EB1" w14:textId="5FCE89AE"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7E6F5A90" w14:textId="1184C349"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0.01</w:t>
            </w:r>
          </w:p>
        </w:tc>
      </w:tr>
      <w:tr w:rsidR="00C0033C" w14:paraId="6CA181C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4404E23" w14:textId="2D4490A7" w:rsidR="00C0033C" w:rsidRDefault="00C0033C" w:rsidP="00C0033C">
            <w:pPr>
              <w:pStyle w:val="TableLeftText"/>
              <w:keepNext/>
              <w:keepLines/>
            </w:pPr>
            <w:r>
              <w:rPr>
                <w:rFonts w:cs="Calibri"/>
                <w:color w:val="4A4D56"/>
              </w:rPr>
              <w:t>Kits – Food Bank Holiday Kits</w:t>
            </w:r>
          </w:p>
        </w:tc>
        <w:tc>
          <w:tcPr>
            <w:tcW w:w="1170" w:type="dxa"/>
          </w:tcPr>
          <w:p w14:paraId="02026438" w14:textId="3A6E14EF"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0.23</w:t>
            </w:r>
          </w:p>
        </w:tc>
        <w:tc>
          <w:tcPr>
            <w:tcW w:w="1620" w:type="dxa"/>
          </w:tcPr>
          <w:p w14:paraId="30CB611B" w14:textId="2C25EC7E"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170" w:type="dxa"/>
          </w:tcPr>
          <w:p w14:paraId="05591B76" w14:textId="45EE652E"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0.23</w:t>
            </w:r>
          </w:p>
        </w:tc>
        <w:tc>
          <w:tcPr>
            <w:tcW w:w="1350" w:type="dxa"/>
          </w:tcPr>
          <w:p w14:paraId="467F2F65" w14:textId="65AC7385"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184A1201" w14:textId="23D89F0B"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0.23</w:t>
            </w:r>
          </w:p>
        </w:tc>
      </w:tr>
      <w:tr w:rsidR="00C0033C" w14:paraId="75B12D10"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5E7577D" w14:textId="485A27C9" w:rsidR="00C0033C" w:rsidRDefault="00C0033C" w:rsidP="00C0033C">
            <w:pPr>
              <w:pStyle w:val="TableLeftText"/>
              <w:keepNext/>
              <w:keepLines/>
            </w:pPr>
            <w:r>
              <w:rPr>
                <w:rFonts w:cs="Calibri"/>
                <w:color w:val="4A4D56"/>
              </w:rPr>
              <w:t>Kits – Carryover</w:t>
            </w:r>
          </w:p>
        </w:tc>
        <w:tc>
          <w:tcPr>
            <w:tcW w:w="1170" w:type="dxa"/>
          </w:tcPr>
          <w:p w14:paraId="1713FE93" w14:textId="45B52C1A"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Pr>
          <w:p w14:paraId="751A0EA9" w14:textId="5269B25E"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 xml:space="preserve"> N/A </w:t>
            </w:r>
          </w:p>
        </w:tc>
        <w:tc>
          <w:tcPr>
            <w:tcW w:w="1170" w:type="dxa"/>
          </w:tcPr>
          <w:p w14:paraId="03B1719E" w14:textId="3BECA095"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0.04</w:t>
            </w:r>
          </w:p>
        </w:tc>
        <w:tc>
          <w:tcPr>
            <w:tcW w:w="1350" w:type="dxa"/>
          </w:tcPr>
          <w:p w14:paraId="49607691" w14:textId="7FD94533"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single" w:sz="4" w:space="0" w:color="416DCB" w:themeColor="accent1" w:themeTint="99"/>
            </w:tcBorders>
          </w:tcPr>
          <w:p w14:paraId="14B16D0C" w14:textId="4D40A3E5"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0.04</w:t>
            </w:r>
          </w:p>
        </w:tc>
      </w:tr>
      <w:tr w:rsidR="00C0033C" w14:paraId="5C0A627C"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F8BAECE" w14:textId="7BDFB996" w:rsidR="00C0033C" w:rsidRPr="00832451" w:rsidRDefault="00C0033C" w:rsidP="00C0033C">
            <w:pPr>
              <w:pStyle w:val="TableLeftText"/>
              <w:keepNext/>
              <w:keepLines/>
              <w:rPr>
                <w:i/>
                <w:iCs/>
              </w:rPr>
            </w:pPr>
            <w:r>
              <w:rPr>
                <w:rFonts w:cs="Calibri"/>
                <w:i/>
                <w:iCs/>
                <w:color w:val="4A4D56"/>
              </w:rPr>
              <w:t>Residential Program Subtotal</w:t>
            </w:r>
          </w:p>
        </w:tc>
        <w:tc>
          <w:tcPr>
            <w:tcW w:w="1170" w:type="dxa"/>
          </w:tcPr>
          <w:p w14:paraId="5CBDF69E" w14:textId="50DFB9E2" w:rsidR="00C0033C" w:rsidRPr="00251CCE"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28.46</w:t>
            </w:r>
          </w:p>
        </w:tc>
        <w:tc>
          <w:tcPr>
            <w:tcW w:w="1620" w:type="dxa"/>
          </w:tcPr>
          <w:p w14:paraId="7EAAE6E2" w14:textId="31EAFFD3" w:rsidR="00C0033C" w:rsidRPr="00251CCE"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73%</w:t>
            </w:r>
          </w:p>
        </w:tc>
        <w:tc>
          <w:tcPr>
            <w:tcW w:w="1170" w:type="dxa"/>
          </w:tcPr>
          <w:p w14:paraId="7D6863FC" w14:textId="1F650AA3" w:rsidR="00C0033C" w:rsidRPr="00251CCE"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22.06</w:t>
            </w:r>
          </w:p>
        </w:tc>
        <w:tc>
          <w:tcPr>
            <w:tcW w:w="1350" w:type="dxa"/>
          </w:tcPr>
          <w:p w14:paraId="28D0AC5D" w14:textId="0255BF8C" w:rsidR="00C0033C" w:rsidRPr="00251CCE"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0.895</w:t>
            </w:r>
          </w:p>
        </w:tc>
        <w:tc>
          <w:tcPr>
            <w:tcW w:w="982" w:type="dxa"/>
          </w:tcPr>
          <w:p w14:paraId="68714253" w14:textId="2EA21768" w:rsidR="00C0033C" w:rsidRPr="00251CCE"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19.75</w:t>
            </w:r>
          </w:p>
        </w:tc>
      </w:tr>
      <w:tr w:rsidR="00C0033C" w14:paraId="14AF0EF3"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5712450" w14:textId="1B523F8C" w:rsidR="00C0033C" w:rsidRDefault="00C0033C" w:rsidP="00C0033C">
            <w:pPr>
              <w:pStyle w:val="TableLeftText"/>
              <w:keepNext/>
              <w:keepLines/>
              <w:rPr>
                <w:i/>
                <w:iCs/>
              </w:rPr>
            </w:pPr>
            <w:r>
              <w:rPr>
                <w:rFonts w:cs="Calibri"/>
                <w:color w:val="4A4D56"/>
              </w:rPr>
              <w:t>Residential NPSO Adder</w:t>
            </w:r>
          </w:p>
        </w:tc>
        <w:tc>
          <w:tcPr>
            <w:tcW w:w="1170" w:type="dxa"/>
            <w:shd w:val="thinDiagStripe" w:color="auto" w:fill="auto"/>
          </w:tcPr>
          <w:p w14:paraId="308ACECE" w14:textId="3D5C9B00" w:rsidR="00C0033C" w:rsidRPr="0083245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 </w:t>
            </w:r>
          </w:p>
        </w:tc>
        <w:tc>
          <w:tcPr>
            <w:tcW w:w="1620" w:type="dxa"/>
            <w:shd w:val="thinDiagStripe" w:color="auto" w:fill="auto"/>
          </w:tcPr>
          <w:p w14:paraId="582C8216" w14:textId="24B3313C" w:rsidR="00C0033C" w:rsidRPr="0083245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 </w:t>
            </w:r>
          </w:p>
        </w:tc>
        <w:tc>
          <w:tcPr>
            <w:tcW w:w="1170" w:type="dxa"/>
            <w:shd w:val="thinDiagStripe" w:color="auto" w:fill="auto"/>
          </w:tcPr>
          <w:p w14:paraId="3E876A3F" w14:textId="0974834C" w:rsidR="00C0033C" w:rsidRPr="0083245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 </w:t>
            </w:r>
          </w:p>
        </w:tc>
        <w:tc>
          <w:tcPr>
            <w:tcW w:w="1350" w:type="dxa"/>
            <w:shd w:val="thinDiagStripe" w:color="auto" w:fill="auto"/>
          </w:tcPr>
          <w:p w14:paraId="6C03CE12" w14:textId="55DDAC70" w:rsidR="00C0033C" w:rsidRPr="0083245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 </w:t>
            </w:r>
          </w:p>
        </w:tc>
        <w:tc>
          <w:tcPr>
            <w:tcW w:w="982" w:type="dxa"/>
          </w:tcPr>
          <w:p w14:paraId="69058AE9" w14:textId="342D1683" w:rsidR="00C0033C" w:rsidRPr="0083245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color w:val="4A4D56"/>
              </w:rPr>
              <w:t>0.17</w:t>
            </w:r>
          </w:p>
        </w:tc>
      </w:tr>
      <w:tr w:rsidR="00C0033C" w14:paraId="747A1C0D"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ADD2EE3" w14:textId="6F15ED91" w:rsidR="00C0033C" w:rsidRPr="001A2AF7" w:rsidRDefault="00C0033C" w:rsidP="00C0033C">
            <w:pPr>
              <w:pStyle w:val="TableTextLeftMedium"/>
            </w:pPr>
            <w:r>
              <w:rPr>
                <w:rFonts w:cs="Calibri"/>
                <w:color w:val="4A4D56"/>
                <w:szCs w:val="20"/>
              </w:rPr>
              <w:t>Residential Program Total</w:t>
            </w:r>
          </w:p>
        </w:tc>
        <w:tc>
          <w:tcPr>
            <w:tcW w:w="1170" w:type="dxa"/>
            <w:shd w:val="thinDiagStripe" w:color="4A4D56" w:themeColor="text1" w:fill="auto"/>
          </w:tcPr>
          <w:p w14:paraId="325C6D31" w14:textId="3747C68B" w:rsidR="00C0033C" w:rsidRPr="0083245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b/>
                <w:bCs/>
              </w:rPr>
            </w:pPr>
            <w:r>
              <w:rPr>
                <w:rFonts w:cs="Calibri"/>
                <w:b/>
                <w:bCs/>
                <w:color w:val="4A4D56"/>
              </w:rPr>
              <w:t> </w:t>
            </w:r>
          </w:p>
        </w:tc>
        <w:tc>
          <w:tcPr>
            <w:tcW w:w="1620" w:type="dxa"/>
            <w:shd w:val="thinDiagStripe" w:color="4A4D56" w:themeColor="text1" w:fill="auto"/>
          </w:tcPr>
          <w:p w14:paraId="1ED5C985" w14:textId="57988781" w:rsidR="00C0033C" w:rsidRPr="0083245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b/>
                <w:bCs/>
              </w:rPr>
            </w:pPr>
            <w:r>
              <w:rPr>
                <w:rFonts w:cs="Calibri"/>
                <w:b/>
                <w:bCs/>
                <w:color w:val="4A4D56"/>
              </w:rPr>
              <w:t> </w:t>
            </w:r>
          </w:p>
        </w:tc>
        <w:tc>
          <w:tcPr>
            <w:tcW w:w="1170" w:type="dxa"/>
            <w:shd w:val="thinDiagStripe" w:color="4A4D56" w:themeColor="text1" w:fill="auto"/>
          </w:tcPr>
          <w:p w14:paraId="0AA0A932" w14:textId="119344DF" w:rsidR="00C0033C" w:rsidRPr="0083245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b/>
                <w:bCs/>
              </w:rPr>
            </w:pPr>
            <w:r>
              <w:rPr>
                <w:rFonts w:cs="Calibri"/>
                <w:b/>
                <w:bCs/>
                <w:color w:val="4A4D56"/>
              </w:rPr>
              <w:t> </w:t>
            </w:r>
          </w:p>
        </w:tc>
        <w:tc>
          <w:tcPr>
            <w:tcW w:w="1350" w:type="dxa"/>
            <w:shd w:val="thinDiagStripe" w:color="4A4D56" w:themeColor="text1" w:fill="auto"/>
          </w:tcPr>
          <w:p w14:paraId="50878747" w14:textId="59C5CCCB" w:rsidR="00C0033C" w:rsidRPr="0083245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rPr>
                <w:b/>
                <w:bCs/>
              </w:rPr>
            </w:pPr>
            <w:r>
              <w:rPr>
                <w:rFonts w:cs="Calibri"/>
                <w:b/>
                <w:bCs/>
                <w:color w:val="4A4D56"/>
              </w:rPr>
              <w:t> </w:t>
            </w:r>
          </w:p>
        </w:tc>
        <w:tc>
          <w:tcPr>
            <w:tcW w:w="982" w:type="dxa"/>
          </w:tcPr>
          <w:p w14:paraId="7A5D9DC2" w14:textId="144E60EA" w:rsidR="00C0033C" w:rsidRPr="00591AA4" w:rsidRDefault="00C0033C" w:rsidP="00C0033C">
            <w:pPr>
              <w:pStyle w:val="TableTextLeftMedium"/>
              <w:jc w:val="right"/>
              <w:cnfStyle w:val="000000100000" w:firstRow="0" w:lastRow="0" w:firstColumn="0" w:lastColumn="0" w:oddVBand="0" w:evenVBand="0" w:oddHBand="1" w:evenHBand="0" w:firstRowFirstColumn="0" w:firstRowLastColumn="0" w:lastRowFirstColumn="0" w:lastRowLastColumn="0"/>
            </w:pPr>
            <w:r>
              <w:rPr>
                <w:rFonts w:cs="Calibri"/>
                <w:color w:val="4A4D56"/>
                <w:szCs w:val="20"/>
              </w:rPr>
              <w:t>19.92</w:t>
            </w:r>
          </w:p>
        </w:tc>
      </w:tr>
    </w:tbl>
    <w:p w14:paraId="0B93133D" w14:textId="77777777" w:rsidR="005C27B9" w:rsidRDefault="005C27B9" w:rsidP="005C27B9">
      <w:pPr>
        <w:spacing w:after="0"/>
        <w:rPr>
          <w:sz w:val="18"/>
          <w:szCs w:val="18"/>
        </w:rPr>
      </w:pPr>
      <w:bookmarkStart w:id="54" w:name="_Ref137457487"/>
      <w:bookmarkStart w:id="55" w:name="_Toc156240733"/>
      <w:r>
        <w:rPr>
          <w:sz w:val="18"/>
          <w:szCs w:val="18"/>
          <w:vertAlign w:val="superscript"/>
        </w:rPr>
        <w:t>a</w:t>
      </w:r>
      <w:r w:rsidRPr="00F17B37">
        <w:rPr>
          <w:sz w:val="18"/>
          <w:szCs w:val="18"/>
          <w:vertAlign w:val="superscript"/>
        </w:rPr>
        <w:t xml:space="preserve"> </w:t>
      </w:r>
      <w:r>
        <w:rPr>
          <w:sz w:val="18"/>
          <w:szCs w:val="18"/>
        </w:rPr>
        <w:t xml:space="preserve">Calculations of gross realization rate at the Residential Program level exclude categories of savings with no </w:t>
      </w:r>
      <w:proofErr w:type="gramStart"/>
      <w:r>
        <w:rPr>
          <w:sz w:val="18"/>
          <w:szCs w:val="18"/>
        </w:rPr>
        <w:t>ex ante</w:t>
      </w:r>
      <w:proofErr w:type="gramEnd"/>
      <w:r>
        <w:rPr>
          <w:sz w:val="18"/>
          <w:szCs w:val="18"/>
        </w:rPr>
        <w:t xml:space="preserve"> savings.</w:t>
      </w:r>
    </w:p>
    <w:p w14:paraId="2455D005" w14:textId="342A9CCE" w:rsidR="005C27B9" w:rsidRDefault="005C27B9" w:rsidP="00C0033C">
      <w:pPr>
        <w:keepNext/>
        <w:keepLines/>
        <w:spacing w:before="240"/>
        <w:jc w:val="center"/>
      </w:pPr>
      <w:bookmarkStart w:id="56" w:name="_Ref160566022"/>
      <w:bookmarkStart w:id="57" w:name="_Ref161260946"/>
      <w:bookmarkStart w:id="58" w:name="_Toc161260989"/>
      <w:bookmarkStart w:id="59" w:name="_Toc192774883"/>
      <w:r>
        <w:lastRenderedPageBreak/>
        <w:t xml:space="preserve">Table </w:t>
      </w:r>
      <w:r>
        <w:fldChar w:fldCharType="begin"/>
      </w:r>
      <w:r>
        <w:instrText xml:space="preserve"> SEQ Table \* ARABIC </w:instrText>
      </w:r>
      <w:r>
        <w:fldChar w:fldCharType="separate"/>
      </w:r>
      <w:r w:rsidR="00F8548D">
        <w:rPr>
          <w:noProof/>
        </w:rPr>
        <w:t>9</w:t>
      </w:r>
      <w:r>
        <w:rPr>
          <w:noProof/>
        </w:rPr>
        <w:fldChar w:fldCharType="end"/>
      </w:r>
      <w:bookmarkEnd w:id="56"/>
      <w:bookmarkEnd w:id="57"/>
      <w:r>
        <w:t>. 202</w:t>
      </w:r>
      <w:r w:rsidR="00657D8A">
        <w:t>4</w:t>
      </w:r>
      <w:r>
        <w:t xml:space="preserve"> Residential Program Gas Annual Savings Summary</w:t>
      </w:r>
      <w:bookmarkEnd w:id="58"/>
      <w:bookmarkEnd w:id="59"/>
    </w:p>
    <w:tbl>
      <w:tblPr>
        <w:tblStyle w:val="ODCBasic-1"/>
        <w:tblW w:w="0" w:type="auto"/>
        <w:tblLayout w:type="fixed"/>
        <w:tblCellMar>
          <w:top w:w="0" w:type="dxa"/>
          <w:bottom w:w="14" w:type="dxa"/>
        </w:tblCellMar>
        <w:tblLook w:val="04A0" w:firstRow="1" w:lastRow="0" w:firstColumn="1" w:lastColumn="0" w:noHBand="0" w:noVBand="1"/>
      </w:tblPr>
      <w:tblGrid>
        <w:gridCol w:w="4405"/>
        <w:gridCol w:w="1350"/>
        <w:gridCol w:w="1620"/>
        <w:gridCol w:w="1350"/>
        <w:gridCol w:w="1170"/>
        <w:gridCol w:w="1162"/>
      </w:tblGrid>
      <w:tr w:rsidR="005C27B9" w14:paraId="3D81D3F0"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405" w:type="dxa"/>
            <w:tcBorders>
              <w:bottom w:val="single" w:sz="4" w:space="0" w:color="4A4D56" w:themeColor="text1"/>
              <w:right w:val="single" w:sz="4" w:space="0" w:color="4A4D56" w:themeColor="text1"/>
            </w:tcBorders>
          </w:tcPr>
          <w:p w14:paraId="0B1A26E3" w14:textId="77777777" w:rsidR="005C27B9" w:rsidRPr="00625570" w:rsidRDefault="005C27B9" w:rsidP="00C0033C">
            <w:pPr>
              <w:pStyle w:val="TableHeadingLeft"/>
              <w:keepNext/>
              <w:keepLines/>
            </w:pPr>
            <w:r>
              <w:t>Initiative/Channel</w:t>
            </w:r>
          </w:p>
        </w:tc>
        <w:tc>
          <w:tcPr>
            <w:tcW w:w="1350" w:type="dxa"/>
            <w:tcBorders>
              <w:left w:val="single" w:sz="4" w:space="0" w:color="4A4D56" w:themeColor="text1"/>
              <w:bottom w:val="single" w:sz="4" w:space="0" w:color="4A4D56" w:themeColor="text1"/>
              <w:right w:val="single" w:sz="4" w:space="0" w:color="4A4D56" w:themeColor="text1"/>
            </w:tcBorders>
          </w:tcPr>
          <w:p w14:paraId="0552887E" w14:textId="77777777" w:rsidR="005C27B9" w:rsidRPr="00625570" w:rsidRDefault="005C27B9" w:rsidP="00C0033C">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Ex Ante Gross </w:t>
            </w:r>
            <w:proofErr w:type="spellStart"/>
            <w:r>
              <w:t>Therms</w:t>
            </w:r>
            <w:proofErr w:type="spellEnd"/>
          </w:p>
        </w:tc>
        <w:tc>
          <w:tcPr>
            <w:tcW w:w="1620" w:type="dxa"/>
            <w:tcBorders>
              <w:left w:val="single" w:sz="4" w:space="0" w:color="4A4D56" w:themeColor="text1"/>
              <w:bottom w:val="single" w:sz="4" w:space="0" w:color="4A4D56" w:themeColor="text1"/>
              <w:right w:val="single" w:sz="4" w:space="0" w:color="4A4D56" w:themeColor="text1"/>
            </w:tcBorders>
          </w:tcPr>
          <w:p w14:paraId="4A4AFBD3" w14:textId="77777777" w:rsidR="005C27B9" w:rsidRPr="00625570" w:rsidRDefault="005C27B9" w:rsidP="00C0033C">
            <w:pPr>
              <w:pStyle w:val="TableHeadingCentered"/>
              <w:keepNext/>
              <w:keepLines/>
              <w:cnfStyle w:val="100000000000" w:firstRow="1" w:lastRow="0" w:firstColumn="0" w:lastColumn="0" w:oddVBand="0" w:evenVBand="0" w:oddHBand="0" w:evenHBand="0" w:firstRowFirstColumn="0" w:firstRowLastColumn="0" w:lastRowFirstColumn="0" w:lastRowLastColumn="0"/>
            </w:pPr>
            <w:r>
              <w:t>Gross Realization Rate</w:t>
            </w:r>
          </w:p>
        </w:tc>
        <w:tc>
          <w:tcPr>
            <w:tcW w:w="1350" w:type="dxa"/>
            <w:tcBorders>
              <w:left w:val="single" w:sz="4" w:space="0" w:color="4A4D56" w:themeColor="text1"/>
              <w:bottom w:val="single" w:sz="4" w:space="0" w:color="4A4D56" w:themeColor="text1"/>
              <w:right w:val="single" w:sz="4" w:space="0" w:color="4A4D56" w:themeColor="text1"/>
            </w:tcBorders>
          </w:tcPr>
          <w:p w14:paraId="39ABB461" w14:textId="77777777" w:rsidR="005C27B9" w:rsidRPr="00625570" w:rsidRDefault="005C27B9" w:rsidP="00C0033C">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Verified Gross </w:t>
            </w:r>
            <w:proofErr w:type="spellStart"/>
            <w:r>
              <w:t>Therms</w:t>
            </w:r>
            <w:proofErr w:type="spellEnd"/>
          </w:p>
        </w:tc>
        <w:tc>
          <w:tcPr>
            <w:tcW w:w="1170" w:type="dxa"/>
            <w:tcBorders>
              <w:left w:val="single" w:sz="4" w:space="0" w:color="4A4D56" w:themeColor="text1"/>
              <w:bottom w:val="single" w:sz="4" w:space="0" w:color="4A4D56" w:themeColor="text1"/>
              <w:right w:val="single" w:sz="4" w:space="0" w:color="4A4D56" w:themeColor="text1"/>
            </w:tcBorders>
          </w:tcPr>
          <w:p w14:paraId="0B33C834" w14:textId="77777777" w:rsidR="005C27B9" w:rsidRPr="00625570" w:rsidRDefault="005C27B9" w:rsidP="00C0033C">
            <w:pPr>
              <w:pStyle w:val="TableHeadingCentered"/>
              <w:keepNext/>
              <w:keepLines/>
              <w:cnfStyle w:val="100000000000" w:firstRow="1" w:lastRow="0" w:firstColumn="0" w:lastColumn="0" w:oddVBand="0" w:evenVBand="0" w:oddHBand="0" w:evenHBand="0" w:firstRowFirstColumn="0" w:firstRowLastColumn="0" w:lastRowFirstColumn="0" w:lastRowLastColumn="0"/>
            </w:pPr>
            <w:r>
              <w:t>NTGR</w:t>
            </w:r>
          </w:p>
        </w:tc>
        <w:tc>
          <w:tcPr>
            <w:tcW w:w="1162" w:type="dxa"/>
            <w:tcBorders>
              <w:left w:val="single" w:sz="4" w:space="0" w:color="4A4D56" w:themeColor="text1"/>
              <w:bottom w:val="single" w:sz="4" w:space="0" w:color="4A4D56" w:themeColor="text1"/>
            </w:tcBorders>
          </w:tcPr>
          <w:p w14:paraId="5C9439FF" w14:textId="77777777" w:rsidR="005C27B9" w:rsidRPr="00625570" w:rsidRDefault="005C27B9" w:rsidP="00C0033C">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Verified Net </w:t>
            </w:r>
            <w:proofErr w:type="spellStart"/>
            <w:r>
              <w:t>Therms</w:t>
            </w:r>
            <w:proofErr w:type="spellEnd"/>
          </w:p>
        </w:tc>
      </w:tr>
      <w:tr w:rsidR="00C0033C" w14:paraId="4F57649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4A4D56" w:themeColor="text1"/>
            </w:tcBorders>
          </w:tcPr>
          <w:p w14:paraId="38AC7208" w14:textId="05CCB625" w:rsidR="00C0033C" w:rsidRPr="00625570" w:rsidRDefault="00C0033C" w:rsidP="00C0033C">
            <w:pPr>
              <w:pStyle w:val="TableLeftText"/>
              <w:keepNext/>
              <w:keepLines/>
            </w:pPr>
            <w:r>
              <w:rPr>
                <w:rFonts w:cs="Calibri"/>
                <w:color w:val="4A4D56"/>
              </w:rPr>
              <w:t>Retail Products – Income Qualified</w:t>
            </w:r>
          </w:p>
        </w:tc>
        <w:tc>
          <w:tcPr>
            <w:tcW w:w="1350" w:type="dxa"/>
            <w:tcBorders>
              <w:top w:val="single" w:sz="4" w:space="0" w:color="4A4D56" w:themeColor="text1"/>
            </w:tcBorders>
          </w:tcPr>
          <w:p w14:paraId="4A9F8090" w14:textId="22D515C0"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492,594</w:t>
            </w:r>
          </w:p>
        </w:tc>
        <w:tc>
          <w:tcPr>
            <w:tcW w:w="1620" w:type="dxa"/>
            <w:tcBorders>
              <w:top w:val="single" w:sz="4" w:space="0" w:color="4A4D56" w:themeColor="text1"/>
            </w:tcBorders>
          </w:tcPr>
          <w:p w14:paraId="6413DE1D" w14:textId="75DF7542"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101%</w:t>
            </w:r>
          </w:p>
        </w:tc>
        <w:tc>
          <w:tcPr>
            <w:tcW w:w="1350" w:type="dxa"/>
            <w:tcBorders>
              <w:top w:val="single" w:sz="4" w:space="0" w:color="4A4D56" w:themeColor="text1"/>
            </w:tcBorders>
          </w:tcPr>
          <w:p w14:paraId="693CFB83" w14:textId="25B7CE00"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495,312</w:t>
            </w:r>
          </w:p>
        </w:tc>
        <w:tc>
          <w:tcPr>
            <w:tcW w:w="1170" w:type="dxa"/>
            <w:tcBorders>
              <w:top w:val="single" w:sz="4" w:space="0" w:color="4A4D56" w:themeColor="text1"/>
            </w:tcBorders>
          </w:tcPr>
          <w:p w14:paraId="6389CFE4" w14:textId="54C032F7"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1162" w:type="dxa"/>
            <w:tcBorders>
              <w:top w:val="single" w:sz="4" w:space="0" w:color="4A4D56" w:themeColor="text1"/>
            </w:tcBorders>
          </w:tcPr>
          <w:p w14:paraId="38F94EF8" w14:textId="20DC5DD8"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495,312</w:t>
            </w:r>
          </w:p>
        </w:tc>
      </w:tr>
      <w:tr w:rsidR="00C0033C" w14:paraId="320D3A2B"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4A4D56" w:themeColor="text1"/>
            </w:tcBorders>
          </w:tcPr>
          <w:p w14:paraId="66BA2521" w14:textId="0C540120" w:rsidR="00C0033C" w:rsidRDefault="00C0033C" w:rsidP="00C0033C">
            <w:pPr>
              <w:pStyle w:val="TableLeftText"/>
              <w:keepNext/>
              <w:keepLines/>
            </w:pPr>
            <w:r>
              <w:rPr>
                <w:rFonts w:cs="Calibri"/>
                <w:color w:val="4A4D56"/>
              </w:rPr>
              <w:t>Retail Products – Market Rate</w:t>
            </w:r>
          </w:p>
        </w:tc>
        <w:tc>
          <w:tcPr>
            <w:tcW w:w="1350" w:type="dxa"/>
            <w:tcBorders>
              <w:top w:val="single" w:sz="4" w:space="0" w:color="4A4D56" w:themeColor="text1"/>
            </w:tcBorders>
          </w:tcPr>
          <w:p w14:paraId="0E2F5901" w14:textId="78C43C76"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1,068,064</w:t>
            </w:r>
          </w:p>
        </w:tc>
        <w:tc>
          <w:tcPr>
            <w:tcW w:w="1620" w:type="dxa"/>
            <w:tcBorders>
              <w:top w:val="single" w:sz="4" w:space="0" w:color="4A4D56" w:themeColor="text1"/>
            </w:tcBorders>
          </w:tcPr>
          <w:p w14:paraId="49763210" w14:textId="79CD7070"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350" w:type="dxa"/>
            <w:tcBorders>
              <w:top w:val="single" w:sz="4" w:space="0" w:color="4A4D56" w:themeColor="text1"/>
            </w:tcBorders>
          </w:tcPr>
          <w:p w14:paraId="566B5A37" w14:textId="3D91014E"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1,066,142</w:t>
            </w:r>
          </w:p>
        </w:tc>
        <w:tc>
          <w:tcPr>
            <w:tcW w:w="1170" w:type="dxa"/>
            <w:tcBorders>
              <w:top w:val="single" w:sz="4" w:space="0" w:color="4A4D56" w:themeColor="text1"/>
            </w:tcBorders>
          </w:tcPr>
          <w:p w14:paraId="6F70D7FA" w14:textId="38E5B3FB"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0.891</w:t>
            </w:r>
          </w:p>
        </w:tc>
        <w:tc>
          <w:tcPr>
            <w:tcW w:w="1162" w:type="dxa"/>
            <w:tcBorders>
              <w:top w:val="single" w:sz="4" w:space="0" w:color="4A4D56" w:themeColor="text1"/>
            </w:tcBorders>
          </w:tcPr>
          <w:p w14:paraId="571A9684" w14:textId="46F55037"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949,852</w:t>
            </w:r>
          </w:p>
        </w:tc>
      </w:tr>
      <w:tr w:rsidR="00C0033C" w14:paraId="31796DB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4A4D56" w:themeColor="text1"/>
            </w:tcBorders>
          </w:tcPr>
          <w:p w14:paraId="1D6E03EE" w14:textId="174FE4ED" w:rsidR="00C0033C" w:rsidRDefault="00C0033C" w:rsidP="00C0033C">
            <w:pPr>
              <w:pStyle w:val="TableLeftText"/>
              <w:keepNext/>
              <w:keepLines/>
            </w:pPr>
            <w:r>
              <w:rPr>
                <w:rFonts w:cs="Calibri"/>
                <w:color w:val="4A4D56"/>
              </w:rPr>
              <w:t>Income Qualified – Single Family</w:t>
            </w:r>
          </w:p>
        </w:tc>
        <w:tc>
          <w:tcPr>
            <w:tcW w:w="1350" w:type="dxa"/>
            <w:tcBorders>
              <w:top w:val="single" w:sz="4" w:space="0" w:color="4A4D56" w:themeColor="text1"/>
            </w:tcBorders>
          </w:tcPr>
          <w:p w14:paraId="20998A25" w14:textId="0CB5EBD9"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352,182</w:t>
            </w:r>
          </w:p>
        </w:tc>
        <w:tc>
          <w:tcPr>
            <w:tcW w:w="1620" w:type="dxa"/>
            <w:tcBorders>
              <w:top w:val="single" w:sz="4" w:space="0" w:color="4A4D56" w:themeColor="text1"/>
            </w:tcBorders>
          </w:tcPr>
          <w:p w14:paraId="3D556843" w14:textId="509A72D1"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350" w:type="dxa"/>
            <w:tcBorders>
              <w:top w:val="single" w:sz="4" w:space="0" w:color="4A4D56" w:themeColor="text1"/>
            </w:tcBorders>
          </w:tcPr>
          <w:p w14:paraId="108D9C5F" w14:textId="67640218"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353,137</w:t>
            </w:r>
          </w:p>
        </w:tc>
        <w:tc>
          <w:tcPr>
            <w:tcW w:w="1170" w:type="dxa"/>
            <w:tcBorders>
              <w:top w:val="single" w:sz="4" w:space="0" w:color="4A4D56" w:themeColor="text1"/>
            </w:tcBorders>
          </w:tcPr>
          <w:p w14:paraId="23B4ADAC" w14:textId="671A812A"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1162" w:type="dxa"/>
            <w:tcBorders>
              <w:top w:val="single" w:sz="4" w:space="0" w:color="4A4D56" w:themeColor="text1"/>
            </w:tcBorders>
          </w:tcPr>
          <w:p w14:paraId="65776C0F" w14:textId="0F0D850D"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353,137</w:t>
            </w:r>
          </w:p>
        </w:tc>
      </w:tr>
      <w:tr w:rsidR="00C0033C" w14:paraId="6F2C376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1A72DF66" w14:textId="234F3769" w:rsidR="00C0033C" w:rsidRPr="00625570" w:rsidRDefault="00C0033C" w:rsidP="00C0033C">
            <w:pPr>
              <w:pStyle w:val="TableLeftText"/>
              <w:keepNext/>
              <w:keepLines/>
            </w:pPr>
            <w:r>
              <w:rPr>
                <w:rFonts w:cs="Calibri"/>
                <w:color w:val="4A4D56"/>
              </w:rPr>
              <w:t>Income Qualified – CAA</w:t>
            </w:r>
          </w:p>
        </w:tc>
        <w:tc>
          <w:tcPr>
            <w:tcW w:w="1350" w:type="dxa"/>
          </w:tcPr>
          <w:p w14:paraId="43F0FE55" w14:textId="6B94DDDC"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320</w:t>
            </w:r>
          </w:p>
        </w:tc>
        <w:tc>
          <w:tcPr>
            <w:tcW w:w="1620" w:type="dxa"/>
          </w:tcPr>
          <w:p w14:paraId="0F59D827" w14:textId="0FD8B7CA"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350" w:type="dxa"/>
          </w:tcPr>
          <w:p w14:paraId="04C5F869" w14:textId="53FC2F2C"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320</w:t>
            </w:r>
          </w:p>
        </w:tc>
        <w:tc>
          <w:tcPr>
            <w:tcW w:w="1170" w:type="dxa"/>
          </w:tcPr>
          <w:p w14:paraId="39D77603" w14:textId="0399D122"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19D72ED4" w14:textId="64ACA7A5"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320</w:t>
            </w:r>
          </w:p>
        </w:tc>
      </w:tr>
      <w:tr w:rsidR="00C0033C" w14:paraId="34988493"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0E567A0F" w14:textId="2BA2009C" w:rsidR="00C0033C" w:rsidRDefault="00C0033C" w:rsidP="00C0033C">
            <w:pPr>
              <w:pStyle w:val="TableLeftText"/>
              <w:keepNext/>
              <w:keepLines/>
            </w:pPr>
            <w:r>
              <w:rPr>
                <w:rFonts w:cs="Calibri"/>
                <w:color w:val="4A4D56"/>
              </w:rPr>
              <w:t>Income Qualified – Smart Savers</w:t>
            </w:r>
          </w:p>
        </w:tc>
        <w:tc>
          <w:tcPr>
            <w:tcW w:w="1350" w:type="dxa"/>
          </w:tcPr>
          <w:p w14:paraId="26954CDF" w14:textId="305A5054"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53,473</w:t>
            </w:r>
          </w:p>
        </w:tc>
        <w:tc>
          <w:tcPr>
            <w:tcW w:w="1620" w:type="dxa"/>
          </w:tcPr>
          <w:p w14:paraId="48B2BC10" w14:textId="0C8F7024"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101%</w:t>
            </w:r>
          </w:p>
        </w:tc>
        <w:tc>
          <w:tcPr>
            <w:tcW w:w="1350" w:type="dxa"/>
          </w:tcPr>
          <w:p w14:paraId="0BE57C5F" w14:textId="75EDCAA7"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53,902</w:t>
            </w:r>
          </w:p>
        </w:tc>
        <w:tc>
          <w:tcPr>
            <w:tcW w:w="1170" w:type="dxa"/>
          </w:tcPr>
          <w:p w14:paraId="7DE0F1B8" w14:textId="756AEAC7"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0.999</w:t>
            </w:r>
          </w:p>
        </w:tc>
        <w:tc>
          <w:tcPr>
            <w:tcW w:w="1162" w:type="dxa"/>
            <w:tcBorders>
              <w:top w:val="single" w:sz="4" w:space="0" w:color="416DCB" w:themeColor="accent1" w:themeTint="99"/>
            </w:tcBorders>
          </w:tcPr>
          <w:p w14:paraId="39A61C4D" w14:textId="0920CE3D"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53,821</w:t>
            </w:r>
          </w:p>
        </w:tc>
      </w:tr>
      <w:tr w:rsidR="00C0033C" w14:paraId="3A19B34F"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5A22C3A2" w14:textId="42B6D054" w:rsidR="00C0033C" w:rsidRDefault="00C0033C" w:rsidP="00C0033C">
            <w:pPr>
              <w:pStyle w:val="TableLeftText"/>
              <w:keepNext/>
              <w:keepLines/>
            </w:pPr>
            <w:r>
              <w:rPr>
                <w:rFonts w:cs="Calibri"/>
                <w:color w:val="4A4D56"/>
              </w:rPr>
              <w:t xml:space="preserve">Income Qualified – MHAS </w:t>
            </w:r>
          </w:p>
        </w:tc>
        <w:tc>
          <w:tcPr>
            <w:tcW w:w="1350" w:type="dxa"/>
          </w:tcPr>
          <w:p w14:paraId="02B7FB97" w14:textId="44BDC176"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39,289</w:t>
            </w:r>
          </w:p>
        </w:tc>
        <w:tc>
          <w:tcPr>
            <w:tcW w:w="1620" w:type="dxa"/>
          </w:tcPr>
          <w:p w14:paraId="673B8C3F" w14:textId="0CD1E377"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350" w:type="dxa"/>
          </w:tcPr>
          <w:p w14:paraId="72803629" w14:textId="5EF15E83"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39,290</w:t>
            </w:r>
          </w:p>
        </w:tc>
        <w:tc>
          <w:tcPr>
            <w:tcW w:w="1170" w:type="dxa"/>
          </w:tcPr>
          <w:p w14:paraId="3BAABB9B" w14:textId="2A313252"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1FEBF4C3" w14:textId="6DD7F89C" w:rsidR="00C0033C" w:rsidRPr="00987F2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39,290</w:t>
            </w:r>
          </w:p>
        </w:tc>
      </w:tr>
      <w:tr w:rsidR="00C0033C" w14:paraId="10AA7625"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0700A8B5" w14:textId="117AF2BC" w:rsidR="00C0033C" w:rsidRDefault="00C0033C" w:rsidP="00C0033C">
            <w:pPr>
              <w:pStyle w:val="TableLeftText"/>
              <w:keepNext/>
              <w:keepLines/>
            </w:pPr>
            <w:r>
              <w:rPr>
                <w:rFonts w:cs="Calibri"/>
                <w:color w:val="4A4D56"/>
              </w:rPr>
              <w:t>Income Qualified – Healthier Homes</w:t>
            </w:r>
          </w:p>
        </w:tc>
        <w:tc>
          <w:tcPr>
            <w:tcW w:w="1350" w:type="dxa"/>
          </w:tcPr>
          <w:p w14:paraId="3F54D469" w14:textId="18634AAE"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8,560</w:t>
            </w:r>
          </w:p>
        </w:tc>
        <w:tc>
          <w:tcPr>
            <w:tcW w:w="1620" w:type="dxa"/>
          </w:tcPr>
          <w:p w14:paraId="3465A3E0" w14:textId="63E1D1FA"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99%</w:t>
            </w:r>
          </w:p>
        </w:tc>
        <w:tc>
          <w:tcPr>
            <w:tcW w:w="1350" w:type="dxa"/>
          </w:tcPr>
          <w:p w14:paraId="3A4C9926" w14:textId="0AA48301"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8,487</w:t>
            </w:r>
          </w:p>
        </w:tc>
        <w:tc>
          <w:tcPr>
            <w:tcW w:w="1170" w:type="dxa"/>
          </w:tcPr>
          <w:p w14:paraId="279C194D" w14:textId="652ECB6C"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2A83784A" w14:textId="36ED2E4F"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8,487</w:t>
            </w:r>
          </w:p>
        </w:tc>
      </w:tr>
      <w:tr w:rsidR="00C0033C" w14:paraId="250FCE0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768312F3" w14:textId="273552AA" w:rsidR="00C0033C" w:rsidRDefault="00C0033C" w:rsidP="00C0033C">
            <w:pPr>
              <w:pStyle w:val="TableLeftText"/>
            </w:pPr>
            <w:r>
              <w:rPr>
                <w:rFonts w:cs="Calibri"/>
                <w:color w:val="4A4D56"/>
              </w:rPr>
              <w:t xml:space="preserve">Multifamily – Income Qualified </w:t>
            </w:r>
          </w:p>
        </w:tc>
        <w:tc>
          <w:tcPr>
            <w:tcW w:w="1350" w:type="dxa"/>
          </w:tcPr>
          <w:p w14:paraId="1D7AE63F" w14:textId="7A81C28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51,797</w:t>
            </w:r>
          </w:p>
        </w:tc>
        <w:tc>
          <w:tcPr>
            <w:tcW w:w="1620" w:type="dxa"/>
          </w:tcPr>
          <w:p w14:paraId="0EDFBD01" w14:textId="7B59BE9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98%</w:t>
            </w:r>
          </w:p>
        </w:tc>
        <w:tc>
          <w:tcPr>
            <w:tcW w:w="1350" w:type="dxa"/>
          </w:tcPr>
          <w:p w14:paraId="38629918" w14:textId="04847D94"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50,990</w:t>
            </w:r>
          </w:p>
        </w:tc>
        <w:tc>
          <w:tcPr>
            <w:tcW w:w="1170" w:type="dxa"/>
          </w:tcPr>
          <w:p w14:paraId="3997FD5E" w14:textId="417A351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16DFDC36" w14:textId="029FAAE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50,990</w:t>
            </w:r>
          </w:p>
        </w:tc>
      </w:tr>
      <w:tr w:rsidR="00C0033C" w14:paraId="610FED3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6A5F7DD1" w14:textId="68FFF5F7" w:rsidR="00C0033C" w:rsidRDefault="00C0033C" w:rsidP="00C0033C">
            <w:pPr>
              <w:pStyle w:val="TableLeftText"/>
            </w:pPr>
            <w:r>
              <w:rPr>
                <w:rFonts w:cs="Calibri"/>
                <w:color w:val="4A4D56"/>
              </w:rPr>
              <w:t xml:space="preserve">Multifamily – Market Rate </w:t>
            </w:r>
          </w:p>
        </w:tc>
        <w:tc>
          <w:tcPr>
            <w:tcW w:w="1350" w:type="dxa"/>
          </w:tcPr>
          <w:p w14:paraId="6C6A9942" w14:textId="17B54F67"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16,890</w:t>
            </w:r>
          </w:p>
        </w:tc>
        <w:tc>
          <w:tcPr>
            <w:tcW w:w="1620" w:type="dxa"/>
          </w:tcPr>
          <w:p w14:paraId="50866D1D" w14:textId="0C97330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102%</w:t>
            </w:r>
          </w:p>
        </w:tc>
        <w:tc>
          <w:tcPr>
            <w:tcW w:w="1350" w:type="dxa"/>
          </w:tcPr>
          <w:p w14:paraId="5014E05A" w14:textId="324B0B6F"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17,185</w:t>
            </w:r>
          </w:p>
        </w:tc>
        <w:tc>
          <w:tcPr>
            <w:tcW w:w="1170" w:type="dxa"/>
          </w:tcPr>
          <w:p w14:paraId="4BEFCF56" w14:textId="6C811FD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0.998</w:t>
            </w:r>
          </w:p>
        </w:tc>
        <w:tc>
          <w:tcPr>
            <w:tcW w:w="1162" w:type="dxa"/>
            <w:tcBorders>
              <w:top w:val="single" w:sz="4" w:space="0" w:color="416DCB" w:themeColor="accent1" w:themeTint="99"/>
            </w:tcBorders>
          </w:tcPr>
          <w:p w14:paraId="49F1ECA2" w14:textId="5A28344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17,159</w:t>
            </w:r>
          </w:p>
        </w:tc>
      </w:tr>
      <w:tr w:rsidR="00C0033C" w14:paraId="33630EC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3B0D8764" w14:textId="2768FD30" w:rsidR="00C0033C" w:rsidRDefault="00C0033C" w:rsidP="00C0033C">
            <w:pPr>
              <w:pStyle w:val="TableLeftText"/>
            </w:pPr>
            <w:r>
              <w:rPr>
                <w:rFonts w:cs="Calibri"/>
                <w:color w:val="4A4D56"/>
              </w:rPr>
              <w:t>Multifamily – Public Housing</w:t>
            </w:r>
          </w:p>
        </w:tc>
        <w:tc>
          <w:tcPr>
            <w:tcW w:w="1350" w:type="dxa"/>
          </w:tcPr>
          <w:p w14:paraId="110FEAB0" w14:textId="20590F1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15,501</w:t>
            </w:r>
          </w:p>
        </w:tc>
        <w:tc>
          <w:tcPr>
            <w:tcW w:w="1620" w:type="dxa"/>
          </w:tcPr>
          <w:p w14:paraId="2AAB0FDF" w14:textId="099F3E2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98%</w:t>
            </w:r>
          </w:p>
        </w:tc>
        <w:tc>
          <w:tcPr>
            <w:tcW w:w="1350" w:type="dxa"/>
          </w:tcPr>
          <w:p w14:paraId="7F8C9EBF" w14:textId="740095CA"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15,182</w:t>
            </w:r>
          </w:p>
        </w:tc>
        <w:tc>
          <w:tcPr>
            <w:tcW w:w="1170" w:type="dxa"/>
          </w:tcPr>
          <w:p w14:paraId="50B30331" w14:textId="13B7986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7E8E47BD" w14:textId="3BE4394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15,182</w:t>
            </w:r>
          </w:p>
        </w:tc>
      </w:tr>
      <w:tr w:rsidR="00C0033C" w14:paraId="0EE53D0B"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7A3BB319" w14:textId="5FD095EE" w:rsidR="00C0033C" w:rsidRDefault="00C0033C" w:rsidP="00C0033C">
            <w:pPr>
              <w:pStyle w:val="TableLeftText"/>
            </w:pPr>
            <w:r>
              <w:rPr>
                <w:rFonts w:cs="Calibri"/>
                <w:color w:val="4A4D56"/>
              </w:rPr>
              <w:t>Market Rate Single Family – Midstream HVAC</w:t>
            </w:r>
          </w:p>
        </w:tc>
        <w:tc>
          <w:tcPr>
            <w:tcW w:w="1350" w:type="dxa"/>
          </w:tcPr>
          <w:p w14:paraId="5F52C41C" w14:textId="14FC16C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359,002</w:t>
            </w:r>
          </w:p>
        </w:tc>
        <w:tc>
          <w:tcPr>
            <w:tcW w:w="1620" w:type="dxa"/>
          </w:tcPr>
          <w:p w14:paraId="053A5418" w14:textId="5F90905F"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350" w:type="dxa"/>
          </w:tcPr>
          <w:p w14:paraId="29B8E21B" w14:textId="2CB5B47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358,933</w:t>
            </w:r>
          </w:p>
        </w:tc>
        <w:tc>
          <w:tcPr>
            <w:tcW w:w="1170" w:type="dxa"/>
          </w:tcPr>
          <w:p w14:paraId="34C6E0EE" w14:textId="237DA7B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0.833</w:t>
            </w:r>
          </w:p>
        </w:tc>
        <w:tc>
          <w:tcPr>
            <w:tcW w:w="1162" w:type="dxa"/>
            <w:tcBorders>
              <w:top w:val="single" w:sz="4" w:space="0" w:color="416DCB" w:themeColor="accent1" w:themeTint="99"/>
            </w:tcBorders>
          </w:tcPr>
          <w:p w14:paraId="4CAFCA00" w14:textId="3F81BF9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298,879</w:t>
            </w:r>
          </w:p>
        </w:tc>
      </w:tr>
      <w:tr w:rsidR="00C0033C" w14:paraId="1A241A1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0B6376B6" w14:textId="0C358D1A" w:rsidR="00C0033C" w:rsidRDefault="00C0033C" w:rsidP="00C0033C">
            <w:pPr>
              <w:pStyle w:val="TableLeftText"/>
            </w:pPr>
            <w:r>
              <w:rPr>
                <w:rFonts w:cs="Calibri"/>
                <w:color w:val="4A4D56"/>
              </w:rPr>
              <w:t>Market Rate Single Family – Midstream HVAC Market Effects</w:t>
            </w:r>
          </w:p>
        </w:tc>
        <w:tc>
          <w:tcPr>
            <w:tcW w:w="1350" w:type="dxa"/>
          </w:tcPr>
          <w:p w14:paraId="01CDE1F0" w14:textId="6C5FE44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620" w:type="dxa"/>
          </w:tcPr>
          <w:p w14:paraId="5261620B" w14:textId="10439CE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350" w:type="dxa"/>
          </w:tcPr>
          <w:p w14:paraId="7CFB2021" w14:textId="4B46DD3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70" w:type="dxa"/>
          </w:tcPr>
          <w:p w14:paraId="490C848E" w14:textId="7976E4D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62" w:type="dxa"/>
            <w:tcBorders>
              <w:top w:val="single" w:sz="4" w:space="0" w:color="416DCB" w:themeColor="accent1" w:themeTint="99"/>
            </w:tcBorders>
          </w:tcPr>
          <w:p w14:paraId="00460B17" w14:textId="70974F0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18,603</w:t>
            </w:r>
          </w:p>
        </w:tc>
      </w:tr>
      <w:tr w:rsidR="00C0033C" w14:paraId="02E50066"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760AC38B" w14:textId="2ECAEA69" w:rsidR="00C0033C" w:rsidRDefault="00C0033C" w:rsidP="00C0033C">
            <w:pPr>
              <w:pStyle w:val="TableLeftText"/>
            </w:pPr>
            <w:r>
              <w:rPr>
                <w:rFonts w:cs="Calibri"/>
                <w:color w:val="4A4D56"/>
              </w:rPr>
              <w:t>Market Rate Single Family – Home Efficiency</w:t>
            </w:r>
          </w:p>
        </w:tc>
        <w:tc>
          <w:tcPr>
            <w:tcW w:w="1350" w:type="dxa"/>
          </w:tcPr>
          <w:p w14:paraId="15FCA11E" w14:textId="5003A70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26,824</w:t>
            </w:r>
          </w:p>
        </w:tc>
        <w:tc>
          <w:tcPr>
            <w:tcW w:w="1620" w:type="dxa"/>
          </w:tcPr>
          <w:p w14:paraId="17BDBE10" w14:textId="43073D8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97%</w:t>
            </w:r>
          </w:p>
        </w:tc>
        <w:tc>
          <w:tcPr>
            <w:tcW w:w="1350" w:type="dxa"/>
          </w:tcPr>
          <w:p w14:paraId="65312E32" w14:textId="7AD1E8F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26,131</w:t>
            </w:r>
          </w:p>
        </w:tc>
        <w:tc>
          <w:tcPr>
            <w:tcW w:w="1170" w:type="dxa"/>
          </w:tcPr>
          <w:p w14:paraId="2AC631D2" w14:textId="6AA801C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0.826</w:t>
            </w:r>
          </w:p>
        </w:tc>
        <w:tc>
          <w:tcPr>
            <w:tcW w:w="1162" w:type="dxa"/>
            <w:tcBorders>
              <w:top w:val="single" w:sz="4" w:space="0" w:color="416DCB" w:themeColor="accent1" w:themeTint="99"/>
            </w:tcBorders>
          </w:tcPr>
          <w:p w14:paraId="10721038" w14:textId="3688EB0A"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21,579</w:t>
            </w:r>
          </w:p>
        </w:tc>
      </w:tr>
      <w:tr w:rsidR="00C0033C" w14:paraId="678524E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264D0A8B" w14:textId="4CE3E79F" w:rsidR="00C0033C" w:rsidRDefault="00C0033C" w:rsidP="00C0033C">
            <w:pPr>
              <w:pStyle w:val="TableLeftText"/>
            </w:pPr>
            <w:r>
              <w:rPr>
                <w:rFonts w:cs="Calibri"/>
                <w:color w:val="4A4D56"/>
              </w:rPr>
              <w:t>Kits – Full School Kits</w:t>
            </w:r>
          </w:p>
        </w:tc>
        <w:tc>
          <w:tcPr>
            <w:tcW w:w="1350" w:type="dxa"/>
          </w:tcPr>
          <w:p w14:paraId="749A46E5" w14:textId="60A9143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204,325</w:t>
            </w:r>
          </w:p>
        </w:tc>
        <w:tc>
          <w:tcPr>
            <w:tcW w:w="1620" w:type="dxa"/>
          </w:tcPr>
          <w:p w14:paraId="5D9EAC36" w14:textId="6A48B31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97%</w:t>
            </w:r>
          </w:p>
        </w:tc>
        <w:tc>
          <w:tcPr>
            <w:tcW w:w="1350" w:type="dxa"/>
          </w:tcPr>
          <w:p w14:paraId="2B41788C" w14:textId="398396F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197,204</w:t>
            </w:r>
          </w:p>
        </w:tc>
        <w:tc>
          <w:tcPr>
            <w:tcW w:w="1170" w:type="dxa"/>
          </w:tcPr>
          <w:p w14:paraId="09BA600A" w14:textId="020A198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4E03168E" w14:textId="6A277D1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197,204</w:t>
            </w:r>
          </w:p>
        </w:tc>
      </w:tr>
      <w:tr w:rsidR="00C0033C" w14:paraId="101A726C"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79E540D3" w14:textId="3C8A17AA" w:rsidR="00C0033C" w:rsidRDefault="00C0033C" w:rsidP="00C0033C">
            <w:pPr>
              <w:pStyle w:val="TableLeftText"/>
            </w:pPr>
            <w:r>
              <w:rPr>
                <w:rFonts w:cs="Calibri"/>
                <w:color w:val="4A4D56"/>
              </w:rPr>
              <w:t>Kits – High School Innovation</w:t>
            </w:r>
          </w:p>
        </w:tc>
        <w:tc>
          <w:tcPr>
            <w:tcW w:w="1350" w:type="dxa"/>
          </w:tcPr>
          <w:p w14:paraId="6AF4E479" w14:textId="4E6402C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30,435</w:t>
            </w:r>
          </w:p>
        </w:tc>
        <w:tc>
          <w:tcPr>
            <w:tcW w:w="1620" w:type="dxa"/>
          </w:tcPr>
          <w:p w14:paraId="4FEDDFAE" w14:textId="15F5F99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76%</w:t>
            </w:r>
          </w:p>
        </w:tc>
        <w:tc>
          <w:tcPr>
            <w:tcW w:w="1350" w:type="dxa"/>
          </w:tcPr>
          <w:p w14:paraId="73AAFB70" w14:textId="5088342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23,235</w:t>
            </w:r>
          </w:p>
        </w:tc>
        <w:tc>
          <w:tcPr>
            <w:tcW w:w="1170" w:type="dxa"/>
          </w:tcPr>
          <w:p w14:paraId="017CE0BE" w14:textId="3BAF9F2A"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2EC67F9D" w14:textId="6D70E84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23,235</w:t>
            </w:r>
          </w:p>
        </w:tc>
      </w:tr>
      <w:tr w:rsidR="00C0033C" w14:paraId="232B87B9"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61A443AE" w14:textId="49B7B3D5" w:rsidR="00C0033C" w:rsidRDefault="00C0033C" w:rsidP="00C0033C">
            <w:pPr>
              <w:pStyle w:val="TableLeftText"/>
            </w:pPr>
            <w:r>
              <w:rPr>
                <w:rFonts w:cs="Calibri"/>
                <w:color w:val="4A4D56"/>
              </w:rPr>
              <w:t>Kits – Income Qualified Community Kits</w:t>
            </w:r>
          </w:p>
        </w:tc>
        <w:tc>
          <w:tcPr>
            <w:tcW w:w="1350" w:type="dxa"/>
          </w:tcPr>
          <w:p w14:paraId="75C5535F" w14:textId="2BFF3D4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40,955</w:t>
            </w:r>
          </w:p>
        </w:tc>
        <w:tc>
          <w:tcPr>
            <w:tcW w:w="1620" w:type="dxa"/>
          </w:tcPr>
          <w:p w14:paraId="2E1C4DE9" w14:textId="5E57B70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350" w:type="dxa"/>
          </w:tcPr>
          <w:p w14:paraId="0EE5BACA" w14:textId="035647D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40,947</w:t>
            </w:r>
          </w:p>
        </w:tc>
        <w:tc>
          <w:tcPr>
            <w:tcW w:w="1170" w:type="dxa"/>
          </w:tcPr>
          <w:p w14:paraId="1E3B9460" w14:textId="1100C1E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6EB7FB2B" w14:textId="5F71119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40,947</w:t>
            </w:r>
          </w:p>
        </w:tc>
      </w:tr>
      <w:tr w:rsidR="00C0033C" w14:paraId="316E82A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58029BA6" w14:textId="2F5249C4" w:rsidR="00C0033C" w:rsidRDefault="00C0033C" w:rsidP="00C0033C">
            <w:pPr>
              <w:pStyle w:val="TableLeftText"/>
              <w:keepNext/>
              <w:keepLines/>
            </w:pPr>
            <w:r>
              <w:rPr>
                <w:rFonts w:cs="Calibri"/>
                <w:color w:val="4A4D56"/>
              </w:rPr>
              <w:t>Kits – Mobile Home Kits</w:t>
            </w:r>
          </w:p>
        </w:tc>
        <w:tc>
          <w:tcPr>
            <w:tcW w:w="1350" w:type="dxa"/>
          </w:tcPr>
          <w:p w14:paraId="771A082B" w14:textId="1BB4C52C"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2,799</w:t>
            </w:r>
          </w:p>
        </w:tc>
        <w:tc>
          <w:tcPr>
            <w:tcW w:w="1620" w:type="dxa"/>
          </w:tcPr>
          <w:p w14:paraId="3CB843CC" w14:textId="00E47510"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350" w:type="dxa"/>
          </w:tcPr>
          <w:p w14:paraId="040DAB6D" w14:textId="546FD88C"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2,799</w:t>
            </w:r>
          </w:p>
        </w:tc>
        <w:tc>
          <w:tcPr>
            <w:tcW w:w="1170" w:type="dxa"/>
          </w:tcPr>
          <w:p w14:paraId="1B761E8F" w14:textId="02F5B7E9"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1.000</w:t>
            </w:r>
          </w:p>
        </w:tc>
        <w:tc>
          <w:tcPr>
            <w:tcW w:w="1162" w:type="dxa"/>
            <w:tcBorders>
              <w:top w:val="single" w:sz="4" w:space="0" w:color="416DCB" w:themeColor="accent1" w:themeTint="99"/>
            </w:tcBorders>
          </w:tcPr>
          <w:p w14:paraId="1D7F2300" w14:textId="4F07E0E3" w:rsidR="00C0033C" w:rsidRPr="00987F2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2,799</w:t>
            </w:r>
          </w:p>
        </w:tc>
      </w:tr>
      <w:tr w:rsidR="00C0033C" w14:paraId="76A1BD93"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77981238" w14:textId="6D93A8A7" w:rsidR="00C0033C" w:rsidRPr="00832451" w:rsidRDefault="00C0033C" w:rsidP="00C0033C">
            <w:pPr>
              <w:pStyle w:val="TableLeftText"/>
              <w:keepNext/>
              <w:keepLines/>
              <w:rPr>
                <w:i/>
                <w:iCs/>
              </w:rPr>
            </w:pPr>
            <w:r>
              <w:rPr>
                <w:rFonts w:cs="Calibri"/>
                <w:i/>
                <w:iCs/>
                <w:color w:val="4A4D56"/>
              </w:rPr>
              <w:t>Residential Program Subtotal</w:t>
            </w:r>
          </w:p>
        </w:tc>
        <w:tc>
          <w:tcPr>
            <w:tcW w:w="1350" w:type="dxa"/>
          </w:tcPr>
          <w:p w14:paraId="1FFFD359" w14:textId="7E21B20D" w:rsidR="00C0033C" w:rsidRPr="00251CCE"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2,763,010</w:t>
            </w:r>
          </w:p>
        </w:tc>
        <w:tc>
          <w:tcPr>
            <w:tcW w:w="1620" w:type="dxa"/>
          </w:tcPr>
          <w:p w14:paraId="345BD17A" w14:textId="5F5D56C6" w:rsidR="00C0033C" w:rsidRPr="00251CCE"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100%</w:t>
            </w:r>
          </w:p>
        </w:tc>
        <w:tc>
          <w:tcPr>
            <w:tcW w:w="1350" w:type="dxa"/>
          </w:tcPr>
          <w:p w14:paraId="41800E7C" w14:textId="4111F556" w:rsidR="00C0033C" w:rsidRPr="00251CCE"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2,749,195</w:t>
            </w:r>
          </w:p>
        </w:tc>
        <w:tc>
          <w:tcPr>
            <w:tcW w:w="1170" w:type="dxa"/>
          </w:tcPr>
          <w:p w14:paraId="68B88ABA" w14:textId="67D9CFAA" w:rsidR="00C0033C" w:rsidRPr="00251CCE"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0.941</w:t>
            </w:r>
          </w:p>
        </w:tc>
        <w:tc>
          <w:tcPr>
            <w:tcW w:w="1162" w:type="dxa"/>
          </w:tcPr>
          <w:p w14:paraId="0AAF000E" w14:textId="729CDD37" w:rsidR="00C0033C" w:rsidRPr="001470D1"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i/>
                <w:iCs/>
              </w:rPr>
            </w:pPr>
            <w:r>
              <w:rPr>
                <w:rFonts w:cs="Calibri"/>
                <w:i/>
                <w:iCs/>
                <w:color w:val="4A4D56"/>
              </w:rPr>
              <w:t>2,586,796</w:t>
            </w:r>
          </w:p>
        </w:tc>
      </w:tr>
      <w:tr w:rsidR="00C0033C" w14:paraId="47E3D269"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35F29BDA" w14:textId="46693DCE" w:rsidR="00C0033C" w:rsidRPr="00832451" w:rsidRDefault="00C0033C" w:rsidP="00C0033C">
            <w:pPr>
              <w:pStyle w:val="TableLeftText"/>
              <w:keepNext/>
              <w:keepLines/>
              <w:rPr>
                <w:vertAlign w:val="superscript"/>
              </w:rPr>
            </w:pPr>
            <w:r>
              <w:rPr>
                <w:rFonts w:cs="Calibri"/>
                <w:color w:val="4A4D56"/>
              </w:rPr>
              <w:t>Residential NPSO Adder</w:t>
            </w:r>
          </w:p>
        </w:tc>
        <w:tc>
          <w:tcPr>
            <w:tcW w:w="1350" w:type="dxa"/>
            <w:shd w:val="thinDiagStripe" w:color="auto" w:fill="auto"/>
          </w:tcPr>
          <w:p w14:paraId="3751BFF4" w14:textId="4E74F23C" w:rsidR="00C0033C" w:rsidRPr="0083245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 </w:t>
            </w:r>
          </w:p>
        </w:tc>
        <w:tc>
          <w:tcPr>
            <w:tcW w:w="1620" w:type="dxa"/>
            <w:shd w:val="thinDiagStripe" w:color="auto" w:fill="auto"/>
          </w:tcPr>
          <w:p w14:paraId="563DD19A" w14:textId="777DBEEF" w:rsidR="00C0033C" w:rsidRPr="0083245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 </w:t>
            </w:r>
          </w:p>
        </w:tc>
        <w:tc>
          <w:tcPr>
            <w:tcW w:w="1350" w:type="dxa"/>
            <w:shd w:val="thinDiagStripe" w:color="auto" w:fill="auto"/>
          </w:tcPr>
          <w:p w14:paraId="1C9ED23F" w14:textId="2E12E08B" w:rsidR="00C0033C" w:rsidRPr="0083245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 </w:t>
            </w:r>
          </w:p>
        </w:tc>
        <w:tc>
          <w:tcPr>
            <w:tcW w:w="1170" w:type="dxa"/>
            <w:shd w:val="thinDiagStripe" w:color="auto" w:fill="auto"/>
          </w:tcPr>
          <w:p w14:paraId="13F47170" w14:textId="253D08F1" w:rsidR="00C0033C" w:rsidRPr="00832451"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i/>
                <w:iCs/>
              </w:rPr>
            </w:pPr>
            <w:r>
              <w:rPr>
                <w:rFonts w:cs="Calibri"/>
                <w:i/>
                <w:iCs/>
                <w:color w:val="4A4D56"/>
              </w:rPr>
              <w:t> </w:t>
            </w:r>
          </w:p>
        </w:tc>
        <w:tc>
          <w:tcPr>
            <w:tcW w:w="1162" w:type="dxa"/>
          </w:tcPr>
          <w:p w14:paraId="23B09228" w14:textId="02B68446" w:rsidR="00C0033C" w:rsidRPr="00101554" w:rsidRDefault="00C0033C" w:rsidP="00C0033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56,649</w:t>
            </w:r>
          </w:p>
        </w:tc>
      </w:tr>
      <w:tr w:rsidR="00C0033C" w14:paraId="41ACCA6F"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405" w:type="dxa"/>
          </w:tcPr>
          <w:p w14:paraId="5A18173B" w14:textId="40750A58" w:rsidR="00C0033C" w:rsidRPr="00591AA4" w:rsidRDefault="00C0033C" w:rsidP="00C0033C">
            <w:pPr>
              <w:pStyle w:val="TableTextLeftMedium"/>
              <w:keepNext/>
              <w:keepLines/>
            </w:pPr>
            <w:r>
              <w:rPr>
                <w:rFonts w:cs="Calibri"/>
                <w:color w:val="4A4D56"/>
                <w:szCs w:val="20"/>
              </w:rPr>
              <w:t>Residential Program Total</w:t>
            </w:r>
          </w:p>
        </w:tc>
        <w:tc>
          <w:tcPr>
            <w:tcW w:w="1350" w:type="dxa"/>
            <w:shd w:val="thinDiagStripe" w:color="auto" w:fill="auto"/>
          </w:tcPr>
          <w:p w14:paraId="694023CC" w14:textId="651AA85C" w:rsidR="00C0033C" w:rsidRPr="00591AA4"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 </w:t>
            </w:r>
          </w:p>
        </w:tc>
        <w:tc>
          <w:tcPr>
            <w:tcW w:w="1620" w:type="dxa"/>
            <w:shd w:val="thinDiagStripe" w:color="auto" w:fill="auto"/>
          </w:tcPr>
          <w:p w14:paraId="5CAA427E" w14:textId="4AB9BBD2" w:rsidR="00C0033C" w:rsidRPr="00591AA4"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 </w:t>
            </w:r>
          </w:p>
        </w:tc>
        <w:tc>
          <w:tcPr>
            <w:tcW w:w="1350" w:type="dxa"/>
            <w:shd w:val="thinDiagStripe" w:color="auto" w:fill="auto"/>
          </w:tcPr>
          <w:p w14:paraId="0AC5BF82" w14:textId="52673E6E" w:rsidR="00C0033C" w:rsidRPr="00591AA4"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 </w:t>
            </w:r>
          </w:p>
        </w:tc>
        <w:tc>
          <w:tcPr>
            <w:tcW w:w="1170" w:type="dxa"/>
            <w:shd w:val="thinDiagStripe" w:color="auto" w:fill="auto"/>
          </w:tcPr>
          <w:p w14:paraId="5F5088A2" w14:textId="5DD2E550" w:rsidR="00C0033C" w:rsidRPr="00591AA4" w:rsidRDefault="00C0033C" w:rsidP="00C0033C">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 </w:t>
            </w:r>
          </w:p>
        </w:tc>
        <w:tc>
          <w:tcPr>
            <w:tcW w:w="1162" w:type="dxa"/>
          </w:tcPr>
          <w:p w14:paraId="2F96A7B6" w14:textId="608B01F2" w:rsidR="00C0033C" w:rsidRPr="00591AA4" w:rsidRDefault="00C0033C" w:rsidP="00C0033C">
            <w:pPr>
              <w:pStyle w:val="TableTextLeftMedium"/>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szCs w:val="20"/>
              </w:rPr>
              <w:t>2,643,444</w:t>
            </w:r>
          </w:p>
        </w:tc>
      </w:tr>
    </w:tbl>
    <w:p w14:paraId="1CDECB95" w14:textId="77777777" w:rsidR="005C27B9" w:rsidRDefault="005C27B9" w:rsidP="005C27B9">
      <w:pPr>
        <w:spacing w:after="0"/>
        <w:rPr>
          <w:sz w:val="18"/>
          <w:szCs w:val="18"/>
        </w:rPr>
      </w:pPr>
      <w:r>
        <w:rPr>
          <w:sz w:val="18"/>
          <w:szCs w:val="18"/>
          <w:vertAlign w:val="superscript"/>
        </w:rPr>
        <w:t>a</w:t>
      </w:r>
      <w:r w:rsidRPr="00F17B37">
        <w:rPr>
          <w:sz w:val="18"/>
          <w:szCs w:val="18"/>
          <w:vertAlign w:val="superscript"/>
        </w:rPr>
        <w:t xml:space="preserve"> </w:t>
      </w:r>
      <w:r>
        <w:rPr>
          <w:sz w:val="18"/>
          <w:szCs w:val="18"/>
        </w:rPr>
        <w:t xml:space="preserve">Calculations of gross realization rate at the Residential Program level exclude categories of savings with no </w:t>
      </w:r>
      <w:proofErr w:type="gramStart"/>
      <w:r>
        <w:rPr>
          <w:sz w:val="18"/>
          <w:szCs w:val="18"/>
        </w:rPr>
        <w:t>ex ante</w:t>
      </w:r>
      <w:proofErr w:type="gramEnd"/>
      <w:r>
        <w:rPr>
          <w:sz w:val="18"/>
          <w:szCs w:val="18"/>
        </w:rPr>
        <w:t xml:space="preserve"> savings.</w:t>
      </w:r>
    </w:p>
    <w:p w14:paraId="2A34E301" w14:textId="68321F89" w:rsidR="005C27B9" w:rsidRDefault="005C27B9" w:rsidP="005C27B9">
      <w:pPr>
        <w:pStyle w:val="Heading2"/>
      </w:pPr>
      <w:bookmarkStart w:id="60" w:name="_Toc165365704"/>
      <w:bookmarkStart w:id="61" w:name="_Toc192774867"/>
      <w:bookmarkEnd w:id="54"/>
      <w:bookmarkEnd w:id="55"/>
      <w:r>
        <w:t>202</w:t>
      </w:r>
      <w:r w:rsidR="00657D8A">
        <w:t>4</w:t>
      </w:r>
      <w:r>
        <w:t xml:space="preserve"> Business Program Annual Savings</w:t>
      </w:r>
      <w:bookmarkEnd w:id="60"/>
      <w:bookmarkEnd w:id="61"/>
    </w:p>
    <w:p w14:paraId="49F568F7" w14:textId="4DE625CE" w:rsidR="005C27B9" w:rsidRDefault="005C27B9" w:rsidP="005C27B9">
      <w:pPr>
        <w:spacing w:after="0"/>
      </w:pPr>
      <w:r w:rsidRPr="00B63B6D">
        <w:t>The 202</w:t>
      </w:r>
      <w:r w:rsidR="00657D8A">
        <w:t>4</w:t>
      </w:r>
      <w:r w:rsidRPr="00B63B6D">
        <w:t xml:space="preserve"> Business Program achieved </w:t>
      </w:r>
      <w:r w:rsidR="00C0033C">
        <w:t>175,338</w:t>
      </w:r>
      <w:r w:rsidRPr="00B63B6D">
        <w:t xml:space="preserve"> MWh, </w:t>
      </w:r>
      <w:r w:rsidR="00C0033C">
        <w:t>26.</w:t>
      </w:r>
      <w:r w:rsidR="003213AC">
        <w:t>90</w:t>
      </w:r>
      <w:r w:rsidRPr="00B63B6D">
        <w:t xml:space="preserve"> MW, and </w:t>
      </w:r>
      <w:r w:rsidR="00C0033C" w:rsidRPr="00C0033C">
        <w:t>2,888,619</w:t>
      </w:r>
      <w:r w:rsidRPr="00B63B6D">
        <w:t xml:space="preserve"> </w:t>
      </w:r>
      <w:proofErr w:type="spellStart"/>
      <w:r w:rsidRPr="00B63B6D">
        <w:t>therms</w:t>
      </w:r>
      <w:proofErr w:type="spellEnd"/>
      <w:r w:rsidRPr="00B63B6D">
        <w:t xml:space="preserve"> in verified net savings. </w:t>
      </w:r>
      <w:r>
        <w:fldChar w:fldCharType="begin"/>
      </w:r>
      <w:r>
        <w:instrText xml:space="preserve"> REF _Ref161321902 \h </w:instrText>
      </w:r>
      <w:r>
        <w:fldChar w:fldCharType="separate"/>
      </w:r>
      <w:r w:rsidR="00F8548D">
        <w:t xml:space="preserve">Table </w:t>
      </w:r>
      <w:r w:rsidR="00F8548D">
        <w:rPr>
          <w:noProof/>
        </w:rPr>
        <w:t>10</w:t>
      </w:r>
      <w:r>
        <w:fldChar w:fldCharType="end"/>
      </w:r>
      <w:r>
        <w:t xml:space="preserve">, </w:t>
      </w:r>
      <w:r>
        <w:fldChar w:fldCharType="begin"/>
      </w:r>
      <w:r>
        <w:instrText xml:space="preserve"> REF _Ref161321903 \h </w:instrText>
      </w:r>
      <w:r>
        <w:fldChar w:fldCharType="separate"/>
      </w:r>
      <w:r w:rsidR="00F8548D">
        <w:t xml:space="preserve">Table </w:t>
      </w:r>
      <w:r w:rsidR="00F8548D">
        <w:rPr>
          <w:noProof/>
        </w:rPr>
        <w:t>11</w:t>
      </w:r>
      <w:r>
        <w:fldChar w:fldCharType="end"/>
      </w:r>
      <w:r>
        <w:t xml:space="preserve">, and </w:t>
      </w:r>
      <w:r>
        <w:fldChar w:fldCharType="begin"/>
      </w:r>
      <w:r>
        <w:instrText xml:space="preserve"> REF _Ref161317145 \h </w:instrText>
      </w:r>
      <w:r>
        <w:fldChar w:fldCharType="separate"/>
      </w:r>
      <w:r w:rsidR="00F8548D">
        <w:t xml:space="preserve">Table </w:t>
      </w:r>
      <w:r w:rsidR="00F8548D">
        <w:rPr>
          <w:noProof/>
        </w:rPr>
        <w:t>12</w:t>
      </w:r>
      <w:r>
        <w:fldChar w:fldCharType="end"/>
      </w:r>
      <w:r>
        <w:t xml:space="preserve"> </w:t>
      </w:r>
      <w:r w:rsidRPr="00B63B6D">
        <w:t>present ex ante gross, verified gross, and verified net electric energy, electric demand, and gas savings, by initiative and channel, for the 202</w:t>
      </w:r>
      <w:r w:rsidR="00657D8A">
        <w:t>4</w:t>
      </w:r>
      <w:r w:rsidRPr="00B63B6D">
        <w:t xml:space="preserve"> Business Program.</w:t>
      </w:r>
    </w:p>
    <w:p w14:paraId="66C8B022" w14:textId="0B901CF8" w:rsidR="005C27B9" w:rsidRDefault="005C27B9" w:rsidP="005C27B9">
      <w:pPr>
        <w:keepNext/>
        <w:keepLines/>
        <w:spacing w:before="240"/>
        <w:jc w:val="center"/>
      </w:pPr>
      <w:bookmarkStart w:id="62" w:name="_Ref161321902"/>
      <w:bookmarkStart w:id="63" w:name="_Toc161320731"/>
      <w:bookmarkStart w:id="64" w:name="_Toc192774884"/>
      <w:r>
        <w:t xml:space="preserve">Table </w:t>
      </w:r>
      <w:r>
        <w:fldChar w:fldCharType="begin"/>
      </w:r>
      <w:r>
        <w:instrText xml:space="preserve"> SEQ Table \* ARABIC </w:instrText>
      </w:r>
      <w:r>
        <w:fldChar w:fldCharType="separate"/>
      </w:r>
      <w:r w:rsidR="00F8548D">
        <w:rPr>
          <w:noProof/>
        </w:rPr>
        <w:t>10</w:t>
      </w:r>
      <w:r>
        <w:rPr>
          <w:noProof/>
        </w:rPr>
        <w:fldChar w:fldCharType="end"/>
      </w:r>
      <w:bookmarkEnd w:id="62"/>
      <w:r>
        <w:t>. 202</w:t>
      </w:r>
      <w:r w:rsidR="00657D8A">
        <w:t>4</w:t>
      </w:r>
      <w:r>
        <w:t xml:space="preserve"> Business Program Electric Energy Annual Savings Summary</w:t>
      </w:r>
      <w:bookmarkEnd w:id="63"/>
      <w:bookmarkEnd w:id="64"/>
    </w:p>
    <w:tbl>
      <w:tblPr>
        <w:tblStyle w:val="ODCBasic-1"/>
        <w:tblW w:w="0" w:type="auto"/>
        <w:tblLayout w:type="fixed"/>
        <w:tblCellMar>
          <w:top w:w="0" w:type="dxa"/>
          <w:bottom w:w="14" w:type="dxa"/>
        </w:tblCellMar>
        <w:tblLook w:val="04A0" w:firstRow="1" w:lastRow="0" w:firstColumn="1" w:lastColumn="0" w:noHBand="0" w:noVBand="1"/>
      </w:tblPr>
      <w:tblGrid>
        <w:gridCol w:w="4765"/>
        <w:gridCol w:w="1170"/>
        <w:gridCol w:w="1620"/>
        <w:gridCol w:w="1170"/>
        <w:gridCol w:w="1350"/>
        <w:gridCol w:w="982"/>
      </w:tblGrid>
      <w:tr w:rsidR="005C27B9" w14:paraId="36200E8A"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765" w:type="dxa"/>
            <w:tcBorders>
              <w:bottom w:val="single" w:sz="4" w:space="0" w:color="4A4D56" w:themeColor="text1"/>
              <w:right w:val="single" w:sz="4" w:space="0" w:color="4A4D56" w:themeColor="text1"/>
            </w:tcBorders>
          </w:tcPr>
          <w:p w14:paraId="3C19F17A" w14:textId="77777777" w:rsidR="005C27B9" w:rsidRPr="00625570" w:rsidRDefault="005C27B9" w:rsidP="002C7F49">
            <w:pPr>
              <w:pStyle w:val="TableHeadingLeft"/>
            </w:pPr>
            <w:r>
              <w:t>Initiative/Channel</w:t>
            </w:r>
          </w:p>
        </w:tc>
        <w:tc>
          <w:tcPr>
            <w:tcW w:w="1170" w:type="dxa"/>
            <w:tcBorders>
              <w:left w:val="single" w:sz="4" w:space="0" w:color="4A4D56" w:themeColor="text1"/>
              <w:bottom w:val="single" w:sz="4" w:space="0" w:color="4A4D56" w:themeColor="text1"/>
              <w:right w:val="single" w:sz="4" w:space="0" w:color="4A4D56" w:themeColor="text1"/>
            </w:tcBorders>
          </w:tcPr>
          <w:p w14:paraId="4A51A917"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Ex Ante Gross MWh</w:t>
            </w:r>
          </w:p>
        </w:tc>
        <w:tc>
          <w:tcPr>
            <w:tcW w:w="1620" w:type="dxa"/>
            <w:tcBorders>
              <w:left w:val="single" w:sz="4" w:space="0" w:color="4A4D56" w:themeColor="text1"/>
              <w:bottom w:val="single" w:sz="4" w:space="0" w:color="4A4D56" w:themeColor="text1"/>
              <w:right w:val="single" w:sz="4" w:space="0" w:color="4A4D56" w:themeColor="text1"/>
            </w:tcBorders>
          </w:tcPr>
          <w:p w14:paraId="39D0B40B"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Gross Realization Rate</w:t>
            </w:r>
          </w:p>
        </w:tc>
        <w:tc>
          <w:tcPr>
            <w:tcW w:w="1170" w:type="dxa"/>
            <w:tcBorders>
              <w:left w:val="single" w:sz="4" w:space="0" w:color="4A4D56" w:themeColor="text1"/>
              <w:bottom w:val="single" w:sz="4" w:space="0" w:color="4A4D56" w:themeColor="text1"/>
              <w:right w:val="single" w:sz="4" w:space="0" w:color="4A4D56" w:themeColor="text1"/>
            </w:tcBorders>
          </w:tcPr>
          <w:p w14:paraId="1697D7ED"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Gross MWh</w:t>
            </w:r>
          </w:p>
        </w:tc>
        <w:tc>
          <w:tcPr>
            <w:tcW w:w="1350" w:type="dxa"/>
            <w:tcBorders>
              <w:left w:val="single" w:sz="4" w:space="0" w:color="4A4D56" w:themeColor="text1"/>
              <w:bottom w:val="single" w:sz="4" w:space="0" w:color="4A4D56" w:themeColor="text1"/>
              <w:right w:val="single" w:sz="4" w:space="0" w:color="4A4D56" w:themeColor="text1"/>
            </w:tcBorders>
          </w:tcPr>
          <w:p w14:paraId="5A434EFA"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Net-to-Gross Ratio (NTGR)</w:t>
            </w:r>
          </w:p>
        </w:tc>
        <w:tc>
          <w:tcPr>
            <w:tcW w:w="982" w:type="dxa"/>
            <w:tcBorders>
              <w:left w:val="single" w:sz="4" w:space="0" w:color="4A4D56" w:themeColor="text1"/>
              <w:bottom w:val="single" w:sz="4" w:space="0" w:color="4A4D56" w:themeColor="text1"/>
            </w:tcBorders>
          </w:tcPr>
          <w:p w14:paraId="6339A948"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Net MWh</w:t>
            </w:r>
          </w:p>
        </w:tc>
      </w:tr>
      <w:tr w:rsidR="00C0033C" w14:paraId="365F97A2"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06DAA6BE" w14:textId="6D6D8024" w:rsidR="00C0033C" w:rsidRPr="001F1470" w:rsidRDefault="00C0033C" w:rsidP="00C0033C">
            <w:pPr>
              <w:pStyle w:val="TableLeftText"/>
            </w:pPr>
            <w:r>
              <w:rPr>
                <w:rFonts w:cs="Calibri"/>
                <w:color w:val="4A4D56"/>
              </w:rPr>
              <w:t>Standard - Core</w:t>
            </w:r>
          </w:p>
        </w:tc>
        <w:tc>
          <w:tcPr>
            <w:tcW w:w="1170" w:type="dxa"/>
            <w:tcBorders>
              <w:top w:val="single" w:sz="4" w:space="0" w:color="4A4D56" w:themeColor="text1"/>
            </w:tcBorders>
          </w:tcPr>
          <w:p w14:paraId="0D3B7C00" w14:textId="1CD9CD4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64,643</w:t>
            </w:r>
          </w:p>
        </w:tc>
        <w:tc>
          <w:tcPr>
            <w:tcW w:w="1620" w:type="dxa"/>
            <w:tcBorders>
              <w:top w:val="single" w:sz="4" w:space="0" w:color="4A4D56" w:themeColor="text1"/>
            </w:tcBorders>
          </w:tcPr>
          <w:p w14:paraId="3E10CF96" w14:textId="6AA5F64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97%</w:t>
            </w:r>
          </w:p>
        </w:tc>
        <w:tc>
          <w:tcPr>
            <w:tcW w:w="1170" w:type="dxa"/>
            <w:tcBorders>
              <w:top w:val="single" w:sz="4" w:space="0" w:color="4A4D56" w:themeColor="text1"/>
            </w:tcBorders>
          </w:tcPr>
          <w:p w14:paraId="25F88130" w14:textId="7BE63D43"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62,825</w:t>
            </w:r>
          </w:p>
        </w:tc>
        <w:tc>
          <w:tcPr>
            <w:tcW w:w="1350" w:type="dxa"/>
            <w:tcBorders>
              <w:top w:val="single" w:sz="4" w:space="0" w:color="4A4D56" w:themeColor="text1"/>
            </w:tcBorders>
          </w:tcPr>
          <w:p w14:paraId="4980E428" w14:textId="4AC91F03"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0.906</w:t>
            </w:r>
          </w:p>
        </w:tc>
        <w:tc>
          <w:tcPr>
            <w:tcW w:w="982" w:type="dxa"/>
            <w:tcBorders>
              <w:top w:val="single" w:sz="4" w:space="0" w:color="4A4D56" w:themeColor="text1"/>
            </w:tcBorders>
          </w:tcPr>
          <w:p w14:paraId="70BDA493" w14:textId="20B790A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56,903</w:t>
            </w:r>
          </w:p>
        </w:tc>
      </w:tr>
      <w:tr w:rsidR="00C0033C" w14:paraId="5D3A5960"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0C4901FD" w14:textId="628967A5" w:rsidR="00C0033C" w:rsidRPr="001F1470" w:rsidRDefault="00C0033C" w:rsidP="00C0033C">
            <w:pPr>
              <w:pStyle w:val="TableLeftText"/>
            </w:pPr>
            <w:r>
              <w:rPr>
                <w:rFonts w:cs="Calibri"/>
                <w:color w:val="4A4D56"/>
              </w:rPr>
              <w:t>Standard - OS</w:t>
            </w:r>
          </w:p>
        </w:tc>
        <w:tc>
          <w:tcPr>
            <w:tcW w:w="1170" w:type="dxa"/>
          </w:tcPr>
          <w:p w14:paraId="67DDFC1B" w14:textId="4C5A1D4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2,465</w:t>
            </w:r>
          </w:p>
        </w:tc>
        <w:tc>
          <w:tcPr>
            <w:tcW w:w="1620" w:type="dxa"/>
            <w:tcBorders>
              <w:left w:val="nil"/>
            </w:tcBorders>
          </w:tcPr>
          <w:p w14:paraId="4A1D96A9" w14:textId="3821FBB1"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99%</w:t>
            </w:r>
          </w:p>
        </w:tc>
        <w:tc>
          <w:tcPr>
            <w:tcW w:w="1170" w:type="dxa"/>
            <w:tcBorders>
              <w:left w:val="nil"/>
            </w:tcBorders>
          </w:tcPr>
          <w:p w14:paraId="6C29BF16" w14:textId="0AC19969"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2,439</w:t>
            </w:r>
          </w:p>
        </w:tc>
        <w:tc>
          <w:tcPr>
            <w:tcW w:w="1350" w:type="dxa"/>
            <w:tcBorders>
              <w:left w:val="nil"/>
            </w:tcBorders>
          </w:tcPr>
          <w:p w14:paraId="1894AC33" w14:textId="4026F808"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0.963</w:t>
            </w:r>
          </w:p>
        </w:tc>
        <w:tc>
          <w:tcPr>
            <w:tcW w:w="982" w:type="dxa"/>
            <w:tcBorders>
              <w:left w:val="nil"/>
            </w:tcBorders>
          </w:tcPr>
          <w:p w14:paraId="1A9EE816" w14:textId="32062F29"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2,349</w:t>
            </w:r>
          </w:p>
        </w:tc>
      </w:tr>
      <w:tr w:rsidR="00C0033C" w14:paraId="036882E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2283995C" w14:textId="2B84E8A4" w:rsidR="00C0033C" w:rsidRPr="001F1470" w:rsidRDefault="00C0033C" w:rsidP="00C0033C">
            <w:pPr>
              <w:pStyle w:val="TableLeftText"/>
            </w:pPr>
            <w:r>
              <w:rPr>
                <w:rFonts w:cs="Calibri"/>
                <w:color w:val="4A4D56"/>
              </w:rPr>
              <w:t>Standard - BOC</w:t>
            </w:r>
          </w:p>
        </w:tc>
        <w:tc>
          <w:tcPr>
            <w:tcW w:w="1170" w:type="dxa"/>
            <w:tcBorders>
              <w:top w:val="nil"/>
            </w:tcBorders>
          </w:tcPr>
          <w:p w14:paraId="2D9F1DF6" w14:textId="24DDB78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1,137</w:t>
            </w:r>
          </w:p>
        </w:tc>
        <w:tc>
          <w:tcPr>
            <w:tcW w:w="1620" w:type="dxa"/>
            <w:tcBorders>
              <w:top w:val="nil"/>
              <w:left w:val="nil"/>
            </w:tcBorders>
          </w:tcPr>
          <w:p w14:paraId="4C4D4168" w14:textId="68D617E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88%</w:t>
            </w:r>
          </w:p>
        </w:tc>
        <w:tc>
          <w:tcPr>
            <w:tcW w:w="1170" w:type="dxa"/>
            <w:tcBorders>
              <w:top w:val="nil"/>
              <w:left w:val="nil"/>
            </w:tcBorders>
          </w:tcPr>
          <w:p w14:paraId="4AD300DB" w14:textId="786091D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1,003</w:t>
            </w:r>
          </w:p>
        </w:tc>
        <w:tc>
          <w:tcPr>
            <w:tcW w:w="1350" w:type="dxa"/>
            <w:tcBorders>
              <w:top w:val="nil"/>
              <w:left w:val="nil"/>
            </w:tcBorders>
          </w:tcPr>
          <w:p w14:paraId="1BD4B5BE" w14:textId="2BC7245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4A4CE7E1" w14:textId="11CB0663"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1,003</w:t>
            </w:r>
          </w:p>
        </w:tc>
      </w:tr>
      <w:tr w:rsidR="00C0033C" w14:paraId="7F18CF15"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5B718093" w14:textId="65E4262A" w:rsidR="00C0033C" w:rsidRPr="001F1470" w:rsidRDefault="00C0033C" w:rsidP="00C0033C">
            <w:pPr>
              <w:pStyle w:val="TableLeftText"/>
            </w:pPr>
            <w:r>
              <w:rPr>
                <w:rFonts w:cs="Calibri"/>
                <w:color w:val="4A4D56"/>
              </w:rPr>
              <w:t xml:space="preserve">Custom </w:t>
            </w:r>
            <w:r w:rsidR="003213AC">
              <w:rPr>
                <w:rFonts w:cs="Calibri"/>
                <w:color w:val="4A4D56"/>
              </w:rPr>
              <w:t>-</w:t>
            </w:r>
            <w:r>
              <w:rPr>
                <w:rFonts w:cs="Calibri"/>
                <w:color w:val="4A4D56"/>
              </w:rPr>
              <w:t xml:space="preserve"> C</w:t>
            </w:r>
            <w:r w:rsidR="003213AC">
              <w:rPr>
                <w:rFonts w:cs="Calibri"/>
                <w:color w:val="4A4D56"/>
              </w:rPr>
              <w:t>ustom Incentives</w:t>
            </w:r>
          </w:p>
        </w:tc>
        <w:tc>
          <w:tcPr>
            <w:tcW w:w="1170" w:type="dxa"/>
            <w:tcBorders>
              <w:top w:val="nil"/>
            </w:tcBorders>
          </w:tcPr>
          <w:p w14:paraId="2C5E5FE5" w14:textId="5952FE0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39,928</w:t>
            </w:r>
          </w:p>
        </w:tc>
        <w:tc>
          <w:tcPr>
            <w:tcW w:w="1620" w:type="dxa"/>
            <w:tcBorders>
              <w:top w:val="nil"/>
              <w:left w:val="nil"/>
            </w:tcBorders>
          </w:tcPr>
          <w:p w14:paraId="3B919B86" w14:textId="5FE8470E"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89%</w:t>
            </w:r>
          </w:p>
        </w:tc>
        <w:tc>
          <w:tcPr>
            <w:tcW w:w="1170" w:type="dxa"/>
            <w:tcBorders>
              <w:top w:val="nil"/>
              <w:left w:val="nil"/>
            </w:tcBorders>
          </w:tcPr>
          <w:p w14:paraId="5C083A85" w14:textId="6CFACF3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35,646</w:t>
            </w:r>
          </w:p>
        </w:tc>
        <w:tc>
          <w:tcPr>
            <w:tcW w:w="1350" w:type="dxa"/>
            <w:tcBorders>
              <w:top w:val="nil"/>
              <w:left w:val="nil"/>
            </w:tcBorders>
          </w:tcPr>
          <w:p w14:paraId="42B9EE29" w14:textId="6CED00E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0.814</w:t>
            </w:r>
          </w:p>
        </w:tc>
        <w:tc>
          <w:tcPr>
            <w:tcW w:w="982" w:type="dxa"/>
            <w:tcBorders>
              <w:top w:val="nil"/>
              <w:left w:val="nil"/>
            </w:tcBorders>
          </w:tcPr>
          <w:p w14:paraId="71F27FAC" w14:textId="5B4831C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29,021</w:t>
            </w:r>
          </w:p>
        </w:tc>
      </w:tr>
      <w:tr w:rsidR="00C0033C" w14:paraId="3762F76B"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75CD6484" w14:textId="16534DFC" w:rsidR="00C0033C" w:rsidRPr="001F1470" w:rsidRDefault="00C0033C" w:rsidP="00C0033C">
            <w:pPr>
              <w:pStyle w:val="TableLeftText"/>
            </w:pPr>
            <w:r>
              <w:rPr>
                <w:rFonts w:cs="Calibri"/>
                <w:color w:val="4A4D56"/>
              </w:rPr>
              <w:t xml:space="preserve">Custom </w:t>
            </w:r>
            <w:r w:rsidR="003213AC">
              <w:rPr>
                <w:rFonts w:cs="Calibri"/>
                <w:color w:val="4A4D56"/>
              </w:rPr>
              <w:t>-</w:t>
            </w:r>
            <w:r>
              <w:rPr>
                <w:rFonts w:cs="Calibri"/>
                <w:color w:val="4A4D56"/>
              </w:rPr>
              <w:t xml:space="preserve"> N</w:t>
            </w:r>
            <w:r w:rsidR="003213AC">
              <w:rPr>
                <w:rFonts w:cs="Calibri"/>
                <w:color w:val="4A4D56"/>
              </w:rPr>
              <w:t>ew Construction Lighting</w:t>
            </w:r>
          </w:p>
        </w:tc>
        <w:tc>
          <w:tcPr>
            <w:tcW w:w="1170" w:type="dxa"/>
            <w:tcBorders>
              <w:top w:val="nil"/>
            </w:tcBorders>
          </w:tcPr>
          <w:p w14:paraId="639620F3" w14:textId="6EE6EEE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1,474</w:t>
            </w:r>
          </w:p>
        </w:tc>
        <w:tc>
          <w:tcPr>
            <w:tcW w:w="1620" w:type="dxa"/>
            <w:tcBorders>
              <w:top w:val="nil"/>
              <w:left w:val="nil"/>
            </w:tcBorders>
          </w:tcPr>
          <w:p w14:paraId="117AF401" w14:textId="2C67AFA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94%</w:t>
            </w:r>
          </w:p>
        </w:tc>
        <w:tc>
          <w:tcPr>
            <w:tcW w:w="1170" w:type="dxa"/>
            <w:tcBorders>
              <w:top w:val="nil"/>
              <w:left w:val="nil"/>
            </w:tcBorders>
          </w:tcPr>
          <w:p w14:paraId="34EF8927" w14:textId="20CA0883"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1,388</w:t>
            </w:r>
          </w:p>
        </w:tc>
        <w:tc>
          <w:tcPr>
            <w:tcW w:w="1350" w:type="dxa"/>
            <w:tcBorders>
              <w:top w:val="nil"/>
              <w:left w:val="nil"/>
            </w:tcBorders>
          </w:tcPr>
          <w:p w14:paraId="646D7F3F" w14:textId="01B54C9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0.791</w:t>
            </w:r>
          </w:p>
        </w:tc>
        <w:tc>
          <w:tcPr>
            <w:tcW w:w="982" w:type="dxa"/>
            <w:tcBorders>
              <w:top w:val="nil"/>
              <w:left w:val="nil"/>
            </w:tcBorders>
          </w:tcPr>
          <w:p w14:paraId="57B78B2C" w14:textId="23478C14"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1,098</w:t>
            </w:r>
          </w:p>
        </w:tc>
      </w:tr>
      <w:tr w:rsidR="00C0033C" w14:paraId="051AE369"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6CD4F38F" w14:textId="4224A5E8" w:rsidR="00C0033C" w:rsidRPr="001F1470" w:rsidRDefault="00C0033C" w:rsidP="00C0033C">
            <w:pPr>
              <w:pStyle w:val="TableLeftText"/>
            </w:pPr>
            <w:r>
              <w:rPr>
                <w:rFonts w:cs="Calibri"/>
                <w:color w:val="4A4D56"/>
              </w:rPr>
              <w:t>Retro-Commissioning - Core</w:t>
            </w:r>
          </w:p>
        </w:tc>
        <w:tc>
          <w:tcPr>
            <w:tcW w:w="1170" w:type="dxa"/>
            <w:tcBorders>
              <w:top w:val="nil"/>
            </w:tcBorders>
          </w:tcPr>
          <w:p w14:paraId="409099E1" w14:textId="12FD9E4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1,841</w:t>
            </w:r>
          </w:p>
        </w:tc>
        <w:tc>
          <w:tcPr>
            <w:tcW w:w="1620" w:type="dxa"/>
            <w:tcBorders>
              <w:top w:val="nil"/>
              <w:left w:val="nil"/>
            </w:tcBorders>
          </w:tcPr>
          <w:p w14:paraId="066C19FE" w14:textId="26AD0FD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Borders>
              <w:top w:val="nil"/>
              <w:left w:val="nil"/>
            </w:tcBorders>
          </w:tcPr>
          <w:p w14:paraId="7C2DE329" w14:textId="58445D2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1,832</w:t>
            </w:r>
          </w:p>
        </w:tc>
        <w:tc>
          <w:tcPr>
            <w:tcW w:w="1350" w:type="dxa"/>
            <w:tcBorders>
              <w:top w:val="nil"/>
              <w:left w:val="nil"/>
            </w:tcBorders>
          </w:tcPr>
          <w:p w14:paraId="07709D73" w14:textId="51B5882A"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0.945</w:t>
            </w:r>
          </w:p>
        </w:tc>
        <w:tc>
          <w:tcPr>
            <w:tcW w:w="982" w:type="dxa"/>
            <w:tcBorders>
              <w:top w:val="nil"/>
              <w:left w:val="nil"/>
            </w:tcBorders>
          </w:tcPr>
          <w:p w14:paraId="0654FA81" w14:textId="3C35908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1,730</w:t>
            </w:r>
          </w:p>
        </w:tc>
      </w:tr>
      <w:tr w:rsidR="00C0033C" w14:paraId="6F427D05"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ABA94F1" w14:textId="3859D179" w:rsidR="00C0033C" w:rsidRPr="001F1470" w:rsidRDefault="00C0033C" w:rsidP="00C0033C">
            <w:pPr>
              <w:pStyle w:val="TableLeftText"/>
            </w:pPr>
            <w:r>
              <w:rPr>
                <w:rFonts w:cs="Calibri"/>
                <w:color w:val="4A4D56"/>
              </w:rPr>
              <w:t xml:space="preserve">Retro-Commissioning - </w:t>
            </w:r>
            <w:proofErr w:type="spellStart"/>
            <w:r>
              <w:rPr>
                <w:rFonts w:cs="Calibri"/>
                <w:color w:val="4A4D56"/>
              </w:rPr>
              <w:t>VCx</w:t>
            </w:r>
            <w:proofErr w:type="spellEnd"/>
          </w:p>
        </w:tc>
        <w:tc>
          <w:tcPr>
            <w:tcW w:w="1170" w:type="dxa"/>
            <w:tcBorders>
              <w:top w:val="nil"/>
            </w:tcBorders>
          </w:tcPr>
          <w:p w14:paraId="12F0CFEC" w14:textId="68C5EE7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4,571</w:t>
            </w:r>
          </w:p>
        </w:tc>
        <w:tc>
          <w:tcPr>
            <w:tcW w:w="1620" w:type="dxa"/>
            <w:tcBorders>
              <w:top w:val="nil"/>
              <w:left w:val="nil"/>
            </w:tcBorders>
          </w:tcPr>
          <w:p w14:paraId="3B655991" w14:textId="0C5B21F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108%</w:t>
            </w:r>
          </w:p>
        </w:tc>
        <w:tc>
          <w:tcPr>
            <w:tcW w:w="1170" w:type="dxa"/>
            <w:tcBorders>
              <w:top w:val="nil"/>
              <w:left w:val="nil"/>
            </w:tcBorders>
          </w:tcPr>
          <w:p w14:paraId="3A29D86F" w14:textId="1F3260B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4,956</w:t>
            </w:r>
          </w:p>
        </w:tc>
        <w:tc>
          <w:tcPr>
            <w:tcW w:w="1350" w:type="dxa"/>
            <w:tcBorders>
              <w:top w:val="nil"/>
              <w:left w:val="nil"/>
            </w:tcBorders>
          </w:tcPr>
          <w:p w14:paraId="7260DC1C" w14:textId="6AB5F6F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0.937</w:t>
            </w:r>
          </w:p>
        </w:tc>
        <w:tc>
          <w:tcPr>
            <w:tcW w:w="982" w:type="dxa"/>
            <w:tcBorders>
              <w:top w:val="nil"/>
              <w:left w:val="nil"/>
            </w:tcBorders>
          </w:tcPr>
          <w:p w14:paraId="08E90A72" w14:textId="61D1614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4,642</w:t>
            </w:r>
          </w:p>
        </w:tc>
      </w:tr>
      <w:tr w:rsidR="00C0033C" w14:paraId="6430C580"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4C31F34" w14:textId="22010851" w:rsidR="00C0033C" w:rsidRPr="001F1470" w:rsidRDefault="00C0033C" w:rsidP="00C0033C">
            <w:pPr>
              <w:pStyle w:val="TableLeftText"/>
            </w:pPr>
            <w:r>
              <w:rPr>
                <w:rFonts w:cs="Calibri"/>
                <w:color w:val="4A4D56"/>
              </w:rPr>
              <w:t>Retro-Commissioning - V</w:t>
            </w:r>
            <w:r w:rsidR="003213AC">
              <w:rPr>
                <w:rFonts w:cs="Calibri"/>
                <w:color w:val="4A4D56"/>
              </w:rPr>
              <w:t>irtual SEM</w:t>
            </w:r>
          </w:p>
        </w:tc>
        <w:tc>
          <w:tcPr>
            <w:tcW w:w="1170" w:type="dxa"/>
            <w:tcBorders>
              <w:top w:val="nil"/>
            </w:tcBorders>
          </w:tcPr>
          <w:p w14:paraId="2C90E76E" w14:textId="5FAA904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803</w:t>
            </w:r>
          </w:p>
        </w:tc>
        <w:tc>
          <w:tcPr>
            <w:tcW w:w="1620" w:type="dxa"/>
            <w:tcBorders>
              <w:top w:val="nil"/>
              <w:left w:val="nil"/>
            </w:tcBorders>
          </w:tcPr>
          <w:p w14:paraId="4E0B431F" w14:textId="2D6E855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103%</w:t>
            </w:r>
          </w:p>
        </w:tc>
        <w:tc>
          <w:tcPr>
            <w:tcW w:w="1170" w:type="dxa"/>
            <w:tcBorders>
              <w:top w:val="nil"/>
              <w:left w:val="nil"/>
            </w:tcBorders>
          </w:tcPr>
          <w:p w14:paraId="211AE623" w14:textId="03FED46C"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831</w:t>
            </w:r>
          </w:p>
        </w:tc>
        <w:tc>
          <w:tcPr>
            <w:tcW w:w="1350" w:type="dxa"/>
            <w:tcBorders>
              <w:top w:val="nil"/>
              <w:left w:val="nil"/>
            </w:tcBorders>
          </w:tcPr>
          <w:p w14:paraId="1FFB9972" w14:textId="6227D6F9"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nil"/>
              <w:left w:val="nil"/>
            </w:tcBorders>
          </w:tcPr>
          <w:p w14:paraId="123A5DE5" w14:textId="2D6F00F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831</w:t>
            </w:r>
          </w:p>
        </w:tc>
      </w:tr>
      <w:tr w:rsidR="00C0033C" w14:paraId="643C30D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3E1598E4" w14:textId="689B2292" w:rsidR="00C0033C" w:rsidRPr="001F1470" w:rsidRDefault="00C0033C" w:rsidP="00C0033C">
            <w:pPr>
              <w:pStyle w:val="TableLeftText"/>
            </w:pPr>
            <w:r>
              <w:rPr>
                <w:rFonts w:cs="Calibri"/>
                <w:color w:val="4A4D56"/>
              </w:rPr>
              <w:t>Streetlighting - MOSL</w:t>
            </w:r>
          </w:p>
        </w:tc>
        <w:tc>
          <w:tcPr>
            <w:tcW w:w="1170" w:type="dxa"/>
            <w:tcBorders>
              <w:top w:val="nil"/>
            </w:tcBorders>
          </w:tcPr>
          <w:p w14:paraId="5D97310D" w14:textId="228A37C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50</w:t>
            </w:r>
          </w:p>
        </w:tc>
        <w:tc>
          <w:tcPr>
            <w:tcW w:w="1620" w:type="dxa"/>
            <w:tcBorders>
              <w:top w:val="nil"/>
              <w:left w:val="nil"/>
            </w:tcBorders>
          </w:tcPr>
          <w:p w14:paraId="0C41B1D8" w14:textId="2B8B5125"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170" w:type="dxa"/>
            <w:tcBorders>
              <w:top w:val="nil"/>
              <w:left w:val="nil"/>
            </w:tcBorders>
          </w:tcPr>
          <w:p w14:paraId="4F505115" w14:textId="1AB4CF9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50</w:t>
            </w:r>
          </w:p>
        </w:tc>
        <w:tc>
          <w:tcPr>
            <w:tcW w:w="1350" w:type="dxa"/>
            <w:tcBorders>
              <w:top w:val="nil"/>
              <w:left w:val="nil"/>
            </w:tcBorders>
          </w:tcPr>
          <w:p w14:paraId="57437383" w14:textId="258C6A7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0.690</w:t>
            </w:r>
          </w:p>
        </w:tc>
        <w:tc>
          <w:tcPr>
            <w:tcW w:w="982" w:type="dxa"/>
            <w:tcBorders>
              <w:top w:val="nil"/>
              <w:left w:val="nil"/>
            </w:tcBorders>
          </w:tcPr>
          <w:p w14:paraId="51B33D1C" w14:textId="16DDEB5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35</w:t>
            </w:r>
          </w:p>
        </w:tc>
      </w:tr>
      <w:tr w:rsidR="00C0033C" w14:paraId="3082316C"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4298D00" w14:textId="6CF0AA31" w:rsidR="00C0033C" w:rsidRPr="001F1470" w:rsidRDefault="00C0033C" w:rsidP="00C0033C">
            <w:pPr>
              <w:pStyle w:val="TableLeftText"/>
            </w:pPr>
            <w:r>
              <w:rPr>
                <w:rFonts w:cs="Calibri"/>
                <w:color w:val="4A4D56"/>
              </w:rPr>
              <w:t>Streetlighting - UOSL</w:t>
            </w:r>
          </w:p>
        </w:tc>
        <w:tc>
          <w:tcPr>
            <w:tcW w:w="1170" w:type="dxa"/>
            <w:tcBorders>
              <w:top w:val="nil"/>
            </w:tcBorders>
          </w:tcPr>
          <w:p w14:paraId="79133959" w14:textId="67BE190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12,516</w:t>
            </w:r>
          </w:p>
        </w:tc>
        <w:tc>
          <w:tcPr>
            <w:tcW w:w="1620" w:type="dxa"/>
            <w:tcBorders>
              <w:top w:val="nil"/>
              <w:left w:val="nil"/>
            </w:tcBorders>
          </w:tcPr>
          <w:p w14:paraId="718C1160" w14:textId="02D30BD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Borders>
              <w:top w:val="nil"/>
              <w:left w:val="nil"/>
            </w:tcBorders>
          </w:tcPr>
          <w:p w14:paraId="25838E6E" w14:textId="757B13D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12,516</w:t>
            </w:r>
          </w:p>
        </w:tc>
        <w:tc>
          <w:tcPr>
            <w:tcW w:w="1350" w:type="dxa"/>
            <w:tcBorders>
              <w:top w:val="nil"/>
              <w:left w:val="nil"/>
            </w:tcBorders>
          </w:tcPr>
          <w:p w14:paraId="42FBE3DC" w14:textId="0DB446C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nil"/>
              <w:left w:val="nil"/>
            </w:tcBorders>
          </w:tcPr>
          <w:p w14:paraId="546136DA" w14:textId="580BB82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12,516</w:t>
            </w:r>
          </w:p>
        </w:tc>
      </w:tr>
      <w:tr w:rsidR="00C0033C" w14:paraId="3EAE8561"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DAEC91D" w14:textId="20392296" w:rsidR="00C0033C" w:rsidRPr="001F1470" w:rsidRDefault="00C0033C" w:rsidP="00C0033C">
            <w:pPr>
              <w:pStyle w:val="TableLeftText"/>
            </w:pPr>
            <w:r>
              <w:rPr>
                <w:rFonts w:cs="Calibri"/>
                <w:color w:val="4A4D56"/>
              </w:rPr>
              <w:lastRenderedPageBreak/>
              <w:t>Small Business - SBDI</w:t>
            </w:r>
          </w:p>
        </w:tc>
        <w:tc>
          <w:tcPr>
            <w:tcW w:w="1170" w:type="dxa"/>
            <w:tcBorders>
              <w:top w:val="nil"/>
            </w:tcBorders>
          </w:tcPr>
          <w:p w14:paraId="05661EF4" w14:textId="4AF0850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35,027</w:t>
            </w:r>
          </w:p>
        </w:tc>
        <w:tc>
          <w:tcPr>
            <w:tcW w:w="1620" w:type="dxa"/>
            <w:tcBorders>
              <w:top w:val="nil"/>
              <w:left w:val="nil"/>
            </w:tcBorders>
          </w:tcPr>
          <w:p w14:paraId="39BE19B5" w14:textId="082CEBD0"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170" w:type="dxa"/>
            <w:tcBorders>
              <w:top w:val="nil"/>
              <w:left w:val="nil"/>
            </w:tcBorders>
          </w:tcPr>
          <w:p w14:paraId="4CED0EE4" w14:textId="3E5F44DB"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35,017</w:t>
            </w:r>
          </w:p>
        </w:tc>
        <w:tc>
          <w:tcPr>
            <w:tcW w:w="1350" w:type="dxa"/>
            <w:tcBorders>
              <w:top w:val="nil"/>
              <w:left w:val="nil"/>
            </w:tcBorders>
          </w:tcPr>
          <w:p w14:paraId="3D612E60" w14:textId="67E16B8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0.917</w:t>
            </w:r>
          </w:p>
        </w:tc>
        <w:tc>
          <w:tcPr>
            <w:tcW w:w="982" w:type="dxa"/>
            <w:tcBorders>
              <w:top w:val="nil"/>
              <w:left w:val="nil"/>
            </w:tcBorders>
          </w:tcPr>
          <w:p w14:paraId="543CE1C8" w14:textId="4DE748C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32,099</w:t>
            </w:r>
          </w:p>
        </w:tc>
      </w:tr>
      <w:tr w:rsidR="00C0033C" w14:paraId="5DC5F334"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83FBE44" w14:textId="6F788970" w:rsidR="00C0033C" w:rsidRPr="001F1470" w:rsidRDefault="00C0033C" w:rsidP="00C0033C">
            <w:pPr>
              <w:pStyle w:val="TableLeftText"/>
            </w:pPr>
            <w:r>
              <w:rPr>
                <w:rFonts w:cs="Calibri"/>
                <w:color w:val="4A4D56"/>
              </w:rPr>
              <w:t>Small Business - SBEP</w:t>
            </w:r>
          </w:p>
        </w:tc>
        <w:tc>
          <w:tcPr>
            <w:tcW w:w="1170" w:type="dxa"/>
            <w:tcBorders>
              <w:top w:val="nil"/>
            </w:tcBorders>
          </w:tcPr>
          <w:p w14:paraId="50732359" w14:textId="7E3D84BF"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332</w:t>
            </w:r>
          </w:p>
        </w:tc>
        <w:tc>
          <w:tcPr>
            <w:tcW w:w="1620" w:type="dxa"/>
            <w:tcBorders>
              <w:top w:val="nil"/>
              <w:left w:val="nil"/>
            </w:tcBorders>
          </w:tcPr>
          <w:p w14:paraId="6C1FF5B4" w14:textId="191A855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67%</w:t>
            </w:r>
          </w:p>
        </w:tc>
        <w:tc>
          <w:tcPr>
            <w:tcW w:w="1170" w:type="dxa"/>
            <w:tcBorders>
              <w:top w:val="nil"/>
              <w:left w:val="nil"/>
            </w:tcBorders>
          </w:tcPr>
          <w:p w14:paraId="2121FB92" w14:textId="297AB22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223</w:t>
            </w:r>
          </w:p>
        </w:tc>
        <w:tc>
          <w:tcPr>
            <w:tcW w:w="1350" w:type="dxa"/>
            <w:tcBorders>
              <w:top w:val="nil"/>
              <w:left w:val="nil"/>
            </w:tcBorders>
          </w:tcPr>
          <w:p w14:paraId="2FBCC936" w14:textId="63123213"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nil"/>
              <w:left w:val="nil"/>
            </w:tcBorders>
          </w:tcPr>
          <w:p w14:paraId="787FE6CB" w14:textId="4C17F8EA"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223</w:t>
            </w:r>
          </w:p>
        </w:tc>
      </w:tr>
      <w:tr w:rsidR="00C0033C" w14:paraId="22D3BCB4"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E0FFCAB" w14:textId="11B6AAF2" w:rsidR="00C0033C" w:rsidRPr="001F1470" w:rsidRDefault="00C0033C" w:rsidP="00C0033C">
            <w:pPr>
              <w:pStyle w:val="TableLeftText"/>
            </w:pPr>
            <w:r>
              <w:rPr>
                <w:rFonts w:cs="Calibri"/>
                <w:color w:val="4A4D56"/>
              </w:rPr>
              <w:t>Midstream - Lighting</w:t>
            </w:r>
          </w:p>
        </w:tc>
        <w:tc>
          <w:tcPr>
            <w:tcW w:w="1170" w:type="dxa"/>
            <w:tcBorders>
              <w:top w:val="nil"/>
            </w:tcBorders>
          </w:tcPr>
          <w:p w14:paraId="165CD961" w14:textId="27C8C78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28,461</w:t>
            </w:r>
          </w:p>
        </w:tc>
        <w:tc>
          <w:tcPr>
            <w:tcW w:w="1620" w:type="dxa"/>
            <w:tcBorders>
              <w:top w:val="nil"/>
              <w:left w:val="nil"/>
            </w:tcBorders>
          </w:tcPr>
          <w:p w14:paraId="030C2CFE" w14:textId="5C9C4A8E"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104%</w:t>
            </w:r>
          </w:p>
        </w:tc>
        <w:tc>
          <w:tcPr>
            <w:tcW w:w="1170" w:type="dxa"/>
            <w:tcBorders>
              <w:top w:val="nil"/>
              <w:left w:val="nil"/>
            </w:tcBorders>
          </w:tcPr>
          <w:p w14:paraId="0526BC15" w14:textId="72E51DB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29,561</w:t>
            </w:r>
          </w:p>
        </w:tc>
        <w:tc>
          <w:tcPr>
            <w:tcW w:w="1350" w:type="dxa"/>
            <w:tcBorders>
              <w:top w:val="nil"/>
              <w:left w:val="nil"/>
            </w:tcBorders>
          </w:tcPr>
          <w:p w14:paraId="3A0A20C3" w14:textId="5AB230E0"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0.979</w:t>
            </w:r>
          </w:p>
        </w:tc>
        <w:tc>
          <w:tcPr>
            <w:tcW w:w="982" w:type="dxa"/>
            <w:tcBorders>
              <w:top w:val="nil"/>
              <w:left w:val="nil"/>
            </w:tcBorders>
          </w:tcPr>
          <w:p w14:paraId="3197ACFA" w14:textId="0109E628"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28,949</w:t>
            </w:r>
          </w:p>
        </w:tc>
      </w:tr>
      <w:tr w:rsidR="00C0033C" w14:paraId="02ED3DA7"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FFAFC9D" w14:textId="729AAA18" w:rsidR="00C0033C" w:rsidRPr="001F1470" w:rsidRDefault="00C0033C" w:rsidP="00C0033C">
            <w:pPr>
              <w:pStyle w:val="TableLeftText"/>
            </w:pPr>
            <w:r>
              <w:rPr>
                <w:rFonts w:cs="Calibri"/>
                <w:color w:val="4A4D56"/>
              </w:rPr>
              <w:t>Midstream - HVAC</w:t>
            </w:r>
          </w:p>
        </w:tc>
        <w:tc>
          <w:tcPr>
            <w:tcW w:w="1170" w:type="dxa"/>
            <w:tcBorders>
              <w:top w:val="nil"/>
            </w:tcBorders>
          </w:tcPr>
          <w:p w14:paraId="4AB9E7DB" w14:textId="327C44E5"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405</w:t>
            </w:r>
          </w:p>
        </w:tc>
        <w:tc>
          <w:tcPr>
            <w:tcW w:w="1620" w:type="dxa"/>
            <w:tcBorders>
              <w:top w:val="nil"/>
              <w:left w:val="nil"/>
            </w:tcBorders>
          </w:tcPr>
          <w:p w14:paraId="590087B6" w14:textId="646BC78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97%</w:t>
            </w:r>
          </w:p>
        </w:tc>
        <w:tc>
          <w:tcPr>
            <w:tcW w:w="1170" w:type="dxa"/>
            <w:tcBorders>
              <w:top w:val="nil"/>
              <w:left w:val="nil"/>
            </w:tcBorders>
          </w:tcPr>
          <w:p w14:paraId="04633214" w14:textId="15D17030"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394</w:t>
            </w:r>
          </w:p>
        </w:tc>
        <w:tc>
          <w:tcPr>
            <w:tcW w:w="1350" w:type="dxa"/>
            <w:tcBorders>
              <w:top w:val="nil"/>
              <w:left w:val="nil"/>
            </w:tcBorders>
          </w:tcPr>
          <w:p w14:paraId="6C84DE63" w14:textId="1EC9B07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0.701</w:t>
            </w:r>
          </w:p>
        </w:tc>
        <w:tc>
          <w:tcPr>
            <w:tcW w:w="982" w:type="dxa"/>
            <w:tcBorders>
              <w:top w:val="nil"/>
              <w:left w:val="nil"/>
            </w:tcBorders>
          </w:tcPr>
          <w:p w14:paraId="405473DA" w14:textId="3A84771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276</w:t>
            </w:r>
          </w:p>
        </w:tc>
      </w:tr>
      <w:tr w:rsidR="00C0033C" w14:paraId="6E7EC63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262DFC5" w14:textId="5F053EC9" w:rsidR="00C0033C" w:rsidRPr="001F1470" w:rsidRDefault="00C0033C" w:rsidP="00C0033C">
            <w:pPr>
              <w:pStyle w:val="TableLeftText"/>
            </w:pPr>
            <w:r>
              <w:rPr>
                <w:rFonts w:cs="Calibri"/>
                <w:color w:val="4A4D56"/>
              </w:rPr>
              <w:t>Midstream - Food Service</w:t>
            </w:r>
          </w:p>
        </w:tc>
        <w:tc>
          <w:tcPr>
            <w:tcW w:w="1170" w:type="dxa"/>
            <w:tcBorders>
              <w:top w:val="nil"/>
            </w:tcBorders>
          </w:tcPr>
          <w:p w14:paraId="062F79F0" w14:textId="67469F8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575</w:t>
            </w:r>
          </w:p>
        </w:tc>
        <w:tc>
          <w:tcPr>
            <w:tcW w:w="1620" w:type="dxa"/>
            <w:tcBorders>
              <w:top w:val="nil"/>
              <w:left w:val="nil"/>
            </w:tcBorders>
          </w:tcPr>
          <w:p w14:paraId="6665AFD9" w14:textId="1B62D73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86%</w:t>
            </w:r>
          </w:p>
        </w:tc>
        <w:tc>
          <w:tcPr>
            <w:tcW w:w="1170" w:type="dxa"/>
            <w:tcBorders>
              <w:top w:val="nil"/>
              <w:left w:val="nil"/>
            </w:tcBorders>
          </w:tcPr>
          <w:p w14:paraId="6617F27E" w14:textId="39E6EBF0"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496</w:t>
            </w:r>
          </w:p>
        </w:tc>
        <w:tc>
          <w:tcPr>
            <w:tcW w:w="1350" w:type="dxa"/>
            <w:tcBorders>
              <w:top w:val="nil"/>
              <w:left w:val="nil"/>
            </w:tcBorders>
          </w:tcPr>
          <w:p w14:paraId="3FBEC3BC" w14:textId="6AF62E4D"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0.863</w:t>
            </w:r>
          </w:p>
        </w:tc>
        <w:tc>
          <w:tcPr>
            <w:tcW w:w="982" w:type="dxa"/>
            <w:tcBorders>
              <w:top w:val="nil"/>
              <w:left w:val="nil"/>
            </w:tcBorders>
          </w:tcPr>
          <w:p w14:paraId="1467D5B9" w14:textId="015B313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428</w:t>
            </w:r>
          </w:p>
        </w:tc>
      </w:tr>
      <w:tr w:rsidR="00C0033C" w14:paraId="5ED08EF1"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086112F" w14:textId="606E4EF2" w:rsidR="00C0033C" w:rsidRPr="001F1470" w:rsidRDefault="00C0033C" w:rsidP="00C0033C">
            <w:pPr>
              <w:pStyle w:val="TableLeftText"/>
            </w:pPr>
            <w:r>
              <w:rPr>
                <w:rFonts w:cs="Calibri"/>
                <w:color w:val="4A4D56"/>
              </w:rPr>
              <w:t xml:space="preserve">Midstream - Lighting </w:t>
            </w:r>
            <w:proofErr w:type="spellStart"/>
            <w:r>
              <w:rPr>
                <w:rFonts w:cs="Calibri"/>
                <w:color w:val="4A4D56"/>
              </w:rPr>
              <w:t>Carryover</w:t>
            </w:r>
            <w:r>
              <w:rPr>
                <w:rFonts w:cs="Calibri"/>
                <w:color w:val="4A4D56"/>
                <w:vertAlign w:val="superscript"/>
              </w:rPr>
              <w:t>a</w:t>
            </w:r>
            <w:proofErr w:type="spellEnd"/>
          </w:p>
        </w:tc>
        <w:tc>
          <w:tcPr>
            <w:tcW w:w="1170" w:type="dxa"/>
            <w:tcBorders>
              <w:top w:val="nil"/>
            </w:tcBorders>
          </w:tcPr>
          <w:p w14:paraId="024DE15D" w14:textId="02D77152"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620" w:type="dxa"/>
            <w:tcBorders>
              <w:top w:val="nil"/>
              <w:left w:val="nil"/>
            </w:tcBorders>
          </w:tcPr>
          <w:p w14:paraId="00CB637D" w14:textId="1E231907"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70" w:type="dxa"/>
            <w:tcBorders>
              <w:top w:val="nil"/>
              <w:left w:val="nil"/>
            </w:tcBorders>
          </w:tcPr>
          <w:p w14:paraId="15B45675" w14:textId="4383EAE6"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3,543</w:t>
            </w:r>
          </w:p>
        </w:tc>
        <w:tc>
          <w:tcPr>
            <w:tcW w:w="1350" w:type="dxa"/>
            <w:tcBorders>
              <w:top w:val="nil"/>
              <w:left w:val="nil"/>
            </w:tcBorders>
          </w:tcPr>
          <w:p w14:paraId="426578C6" w14:textId="36D763BB"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0.913</w:t>
            </w:r>
          </w:p>
        </w:tc>
        <w:tc>
          <w:tcPr>
            <w:tcW w:w="982" w:type="dxa"/>
            <w:tcBorders>
              <w:top w:val="nil"/>
              <w:left w:val="nil"/>
            </w:tcBorders>
          </w:tcPr>
          <w:p w14:paraId="49D72C70" w14:textId="0019BF2D" w:rsidR="00C0033C" w:rsidRPr="00987F21"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3,235</w:t>
            </w:r>
          </w:p>
        </w:tc>
      </w:tr>
      <w:tr w:rsidR="00C0033C" w14:paraId="38CCB9F4"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0A0A0BC" w14:textId="76C7C456" w:rsidR="00C0033C" w:rsidRPr="001F1470" w:rsidRDefault="00C0033C" w:rsidP="00C0033C">
            <w:pPr>
              <w:pStyle w:val="TableLeftText"/>
            </w:pPr>
            <w:r>
              <w:rPr>
                <w:rFonts w:cs="Calibri"/>
                <w:color w:val="4A4D56"/>
              </w:rPr>
              <w:t>LLLC Pilot</w:t>
            </w:r>
          </w:p>
        </w:tc>
        <w:tc>
          <w:tcPr>
            <w:tcW w:w="1170" w:type="dxa"/>
            <w:tcBorders>
              <w:top w:val="nil"/>
            </w:tcBorders>
          </w:tcPr>
          <w:p w14:paraId="7D430D08" w14:textId="68C410C6"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1057E9B7" w14:textId="44C47B62"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70" w:type="dxa"/>
            <w:tcBorders>
              <w:top w:val="nil"/>
              <w:left w:val="nil"/>
            </w:tcBorders>
          </w:tcPr>
          <w:p w14:paraId="17ADC40F" w14:textId="40BE3751"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350" w:type="dxa"/>
            <w:tcBorders>
              <w:top w:val="nil"/>
              <w:left w:val="nil"/>
            </w:tcBorders>
          </w:tcPr>
          <w:p w14:paraId="00473E3B" w14:textId="5C5CFAA9"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482B1B8D" w14:textId="7609163C" w:rsidR="00C0033C" w:rsidRPr="00987F21" w:rsidRDefault="00C0033C" w:rsidP="00C0033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C0033C" w14:paraId="38CD5982"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02088D9E" w14:textId="7F893B7D" w:rsidR="00C0033C" w:rsidRPr="00657D8A" w:rsidRDefault="00C0033C" w:rsidP="00C0033C">
            <w:pPr>
              <w:pStyle w:val="TableLeftText"/>
              <w:rPr>
                <w:rFonts w:ascii="Franklin Gothic Medium" w:hAnsi="Franklin Gothic Medium"/>
              </w:rPr>
            </w:pPr>
            <w:r>
              <w:rPr>
                <w:rFonts w:ascii="Franklin Gothic Medium" w:hAnsi="Franklin Gothic Medium" w:cs="Calibri"/>
                <w:color w:val="4A4D56"/>
              </w:rPr>
              <w:t>Business Program Total</w:t>
            </w:r>
          </w:p>
        </w:tc>
        <w:tc>
          <w:tcPr>
            <w:tcW w:w="1170" w:type="dxa"/>
            <w:tcBorders>
              <w:top w:val="nil"/>
            </w:tcBorders>
          </w:tcPr>
          <w:p w14:paraId="1D2DA69D" w14:textId="4EBC25E4"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194,226</w:t>
            </w:r>
          </w:p>
        </w:tc>
        <w:tc>
          <w:tcPr>
            <w:tcW w:w="1620" w:type="dxa"/>
            <w:tcBorders>
              <w:top w:val="nil"/>
              <w:left w:val="nil"/>
            </w:tcBorders>
          </w:tcPr>
          <w:p w14:paraId="7B5DA20F" w14:textId="230682DB"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97%</w:t>
            </w:r>
          </w:p>
        </w:tc>
        <w:tc>
          <w:tcPr>
            <w:tcW w:w="1170" w:type="dxa"/>
            <w:tcBorders>
              <w:top w:val="nil"/>
              <w:left w:val="nil"/>
            </w:tcBorders>
          </w:tcPr>
          <w:p w14:paraId="521F262A" w14:textId="4BD6DC08"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192,719</w:t>
            </w:r>
          </w:p>
        </w:tc>
        <w:tc>
          <w:tcPr>
            <w:tcW w:w="1350" w:type="dxa"/>
            <w:tcBorders>
              <w:top w:val="nil"/>
              <w:left w:val="nil"/>
            </w:tcBorders>
          </w:tcPr>
          <w:p w14:paraId="1007F7E5" w14:textId="0CC3FBE5"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0.910</w:t>
            </w:r>
          </w:p>
        </w:tc>
        <w:tc>
          <w:tcPr>
            <w:tcW w:w="982" w:type="dxa"/>
            <w:tcBorders>
              <w:top w:val="nil"/>
              <w:left w:val="nil"/>
            </w:tcBorders>
          </w:tcPr>
          <w:p w14:paraId="1CBDCF7B" w14:textId="55A343A0"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175,338</w:t>
            </w:r>
          </w:p>
        </w:tc>
      </w:tr>
    </w:tbl>
    <w:p w14:paraId="08CABA6F" w14:textId="23FA48B4" w:rsidR="005C27B9" w:rsidRDefault="005C27B9" w:rsidP="005C27B9">
      <w:pPr>
        <w:spacing w:before="240"/>
        <w:jc w:val="center"/>
      </w:pPr>
      <w:bookmarkStart w:id="65" w:name="_Ref161321903"/>
      <w:bookmarkStart w:id="66" w:name="_Toc161320732"/>
      <w:bookmarkStart w:id="67" w:name="_Toc192774885"/>
      <w:r>
        <w:t xml:space="preserve">Table </w:t>
      </w:r>
      <w:r>
        <w:fldChar w:fldCharType="begin"/>
      </w:r>
      <w:r>
        <w:instrText xml:space="preserve"> SEQ Table \* ARABIC </w:instrText>
      </w:r>
      <w:r>
        <w:fldChar w:fldCharType="separate"/>
      </w:r>
      <w:r w:rsidR="00F8548D">
        <w:rPr>
          <w:noProof/>
        </w:rPr>
        <w:t>11</w:t>
      </w:r>
      <w:r>
        <w:rPr>
          <w:noProof/>
        </w:rPr>
        <w:fldChar w:fldCharType="end"/>
      </w:r>
      <w:bookmarkEnd w:id="65"/>
      <w:r>
        <w:t xml:space="preserve">. </w:t>
      </w:r>
      <w:r w:rsidRPr="00832451">
        <w:t>202</w:t>
      </w:r>
      <w:r w:rsidR="00657D8A">
        <w:t>4</w:t>
      </w:r>
      <w:r w:rsidRPr="00832451">
        <w:t xml:space="preserve"> Business Program Electric Demand Annual Savings Summary</w:t>
      </w:r>
      <w:bookmarkEnd w:id="66"/>
      <w:bookmarkEnd w:id="67"/>
    </w:p>
    <w:tbl>
      <w:tblPr>
        <w:tblStyle w:val="ODCBasic-1"/>
        <w:tblW w:w="0" w:type="auto"/>
        <w:tblLayout w:type="fixed"/>
        <w:tblCellMar>
          <w:top w:w="0" w:type="dxa"/>
          <w:bottom w:w="14" w:type="dxa"/>
        </w:tblCellMar>
        <w:tblLook w:val="04A0" w:firstRow="1" w:lastRow="0" w:firstColumn="1" w:lastColumn="0" w:noHBand="0" w:noVBand="1"/>
      </w:tblPr>
      <w:tblGrid>
        <w:gridCol w:w="4765"/>
        <w:gridCol w:w="1170"/>
        <w:gridCol w:w="1620"/>
        <w:gridCol w:w="1170"/>
        <w:gridCol w:w="1350"/>
        <w:gridCol w:w="982"/>
      </w:tblGrid>
      <w:tr w:rsidR="005C27B9" w14:paraId="21276E94"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765" w:type="dxa"/>
            <w:tcBorders>
              <w:bottom w:val="single" w:sz="4" w:space="0" w:color="4A4D56" w:themeColor="text1"/>
              <w:right w:val="single" w:sz="4" w:space="0" w:color="4A4D56" w:themeColor="text1"/>
            </w:tcBorders>
          </w:tcPr>
          <w:p w14:paraId="645EEC5E" w14:textId="77777777" w:rsidR="005C27B9" w:rsidRPr="00625570" w:rsidRDefault="005C27B9" w:rsidP="002C7F49">
            <w:pPr>
              <w:pStyle w:val="TableHeadingLeft"/>
            </w:pPr>
            <w:r>
              <w:t>Initiative/Channel</w:t>
            </w:r>
          </w:p>
        </w:tc>
        <w:tc>
          <w:tcPr>
            <w:tcW w:w="1170" w:type="dxa"/>
            <w:tcBorders>
              <w:left w:val="single" w:sz="4" w:space="0" w:color="4A4D56" w:themeColor="text1"/>
              <w:bottom w:val="single" w:sz="4" w:space="0" w:color="4A4D56" w:themeColor="text1"/>
              <w:right w:val="single" w:sz="4" w:space="0" w:color="4A4D56" w:themeColor="text1"/>
            </w:tcBorders>
          </w:tcPr>
          <w:p w14:paraId="289ECD42"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Ex Ante Gross MW</w:t>
            </w:r>
          </w:p>
        </w:tc>
        <w:tc>
          <w:tcPr>
            <w:tcW w:w="1620" w:type="dxa"/>
            <w:tcBorders>
              <w:left w:val="single" w:sz="4" w:space="0" w:color="4A4D56" w:themeColor="text1"/>
              <w:bottom w:val="single" w:sz="4" w:space="0" w:color="4A4D56" w:themeColor="text1"/>
              <w:right w:val="single" w:sz="4" w:space="0" w:color="4A4D56" w:themeColor="text1"/>
            </w:tcBorders>
          </w:tcPr>
          <w:p w14:paraId="6F352129"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Gross Realization Rate</w:t>
            </w:r>
          </w:p>
        </w:tc>
        <w:tc>
          <w:tcPr>
            <w:tcW w:w="1170" w:type="dxa"/>
            <w:tcBorders>
              <w:left w:val="single" w:sz="4" w:space="0" w:color="4A4D56" w:themeColor="text1"/>
              <w:bottom w:val="single" w:sz="4" w:space="0" w:color="4A4D56" w:themeColor="text1"/>
              <w:right w:val="single" w:sz="4" w:space="0" w:color="4A4D56" w:themeColor="text1"/>
            </w:tcBorders>
          </w:tcPr>
          <w:p w14:paraId="644606F9"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Gross MW</w:t>
            </w:r>
          </w:p>
        </w:tc>
        <w:tc>
          <w:tcPr>
            <w:tcW w:w="1350" w:type="dxa"/>
            <w:tcBorders>
              <w:left w:val="single" w:sz="4" w:space="0" w:color="4A4D56" w:themeColor="text1"/>
              <w:bottom w:val="single" w:sz="4" w:space="0" w:color="4A4D56" w:themeColor="text1"/>
              <w:right w:val="single" w:sz="4" w:space="0" w:color="4A4D56" w:themeColor="text1"/>
            </w:tcBorders>
          </w:tcPr>
          <w:p w14:paraId="6D8659A4"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982" w:type="dxa"/>
            <w:tcBorders>
              <w:left w:val="single" w:sz="4" w:space="0" w:color="4A4D56" w:themeColor="text1"/>
              <w:bottom w:val="single" w:sz="4" w:space="0" w:color="4A4D56" w:themeColor="text1"/>
            </w:tcBorders>
          </w:tcPr>
          <w:p w14:paraId="5629EAF4"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Verified Net MW</w:t>
            </w:r>
          </w:p>
        </w:tc>
      </w:tr>
      <w:tr w:rsidR="003213AC" w14:paraId="5B78E15D"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00C9F8BD" w14:textId="615A3145" w:rsidR="003213AC" w:rsidRPr="00625570" w:rsidRDefault="003213AC" w:rsidP="003213AC">
            <w:pPr>
              <w:pStyle w:val="TableLeftText"/>
            </w:pPr>
            <w:r>
              <w:rPr>
                <w:rFonts w:cs="Calibri"/>
                <w:color w:val="4A4D56"/>
              </w:rPr>
              <w:t>Standard - Core</w:t>
            </w:r>
          </w:p>
        </w:tc>
        <w:tc>
          <w:tcPr>
            <w:tcW w:w="1170" w:type="dxa"/>
          </w:tcPr>
          <w:p w14:paraId="5F581D63" w14:textId="08A8C25E"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11.82</w:t>
            </w:r>
          </w:p>
        </w:tc>
        <w:tc>
          <w:tcPr>
            <w:tcW w:w="1620" w:type="dxa"/>
            <w:tcBorders>
              <w:left w:val="nil"/>
            </w:tcBorders>
          </w:tcPr>
          <w:p w14:paraId="526C37AE" w14:textId="4D35401A"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99%</w:t>
            </w:r>
          </w:p>
        </w:tc>
        <w:tc>
          <w:tcPr>
            <w:tcW w:w="1170" w:type="dxa"/>
            <w:tcBorders>
              <w:left w:val="nil"/>
            </w:tcBorders>
          </w:tcPr>
          <w:p w14:paraId="1CA0F5EA" w14:textId="0EE908E1"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11.64</w:t>
            </w:r>
          </w:p>
        </w:tc>
        <w:tc>
          <w:tcPr>
            <w:tcW w:w="1350" w:type="dxa"/>
            <w:tcBorders>
              <w:left w:val="nil"/>
            </w:tcBorders>
          </w:tcPr>
          <w:p w14:paraId="6606D478" w14:textId="1D0654A4"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0.908</w:t>
            </w:r>
          </w:p>
        </w:tc>
        <w:tc>
          <w:tcPr>
            <w:tcW w:w="982" w:type="dxa"/>
            <w:tcBorders>
              <w:left w:val="nil"/>
            </w:tcBorders>
          </w:tcPr>
          <w:p w14:paraId="2F11DDDB" w14:textId="16E9D43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10.57</w:t>
            </w:r>
          </w:p>
        </w:tc>
      </w:tr>
      <w:tr w:rsidR="003213AC" w14:paraId="3DBA214E"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476A9F93" w14:textId="7CFDCDCE" w:rsidR="003213AC" w:rsidRDefault="003213AC" w:rsidP="003213AC">
            <w:pPr>
              <w:pStyle w:val="TableLeftText"/>
            </w:pPr>
            <w:r>
              <w:rPr>
                <w:rFonts w:cs="Calibri"/>
                <w:color w:val="4A4D56"/>
              </w:rPr>
              <w:t>Standard - OS</w:t>
            </w:r>
          </w:p>
        </w:tc>
        <w:tc>
          <w:tcPr>
            <w:tcW w:w="1170" w:type="dxa"/>
            <w:tcBorders>
              <w:top w:val="nil"/>
            </w:tcBorders>
          </w:tcPr>
          <w:p w14:paraId="6078AEBB" w14:textId="06495B9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0.52</w:t>
            </w:r>
          </w:p>
        </w:tc>
        <w:tc>
          <w:tcPr>
            <w:tcW w:w="1620" w:type="dxa"/>
            <w:tcBorders>
              <w:top w:val="nil"/>
              <w:left w:val="nil"/>
            </w:tcBorders>
          </w:tcPr>
          <w:p w14:paraId="10D41E18" w14:textId="474C5A2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170" w:type="dxa"/>
            <w:tcBorders>
              <w:top w:val="nil"/>
              <w:left w:val="nil"/>
            </w:tcBorders>
          </w:tcPr>
          <w:p w14:paraId="3493303F" w14:textId="572B1B8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0.52</w:t>
            </w:r>
          </w:p>
        </w:tc>
        <w:tc>
          <w:tcPr>
            <w:tcW w:w="1350" w:type="dxa"/>
            <w:tcBorders>
              <w:top w:val="nil"/>
              <w:left w:val="nil"/>
            </w:tcBorders>
          </w:tcPr>
          <w:p w14:paraId="0DAEBD34" w14:textId="2BCCCF7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0.918</w:t>
            </w:r>
          </w:p>
        </w:tc>
        <w:tc>
          <w:tcPr>
            <w:tcW w:w="982" w:type="dxa"/>
            <w:tcBorders>
              <w:top w:val="nil"/>
              <w:left w:val="nil"/>
            </w:tcBorders>
          </w:tcPr>
          <w:p w14:paraId="039D1EFA" w14:textId="6B3F902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0.48</w:t>
            </w:r>
          </w:p>
        </w:tc>
      </w:tr>
      <w:tr w:rsidR="003213AC" w14:paraId="36214D3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289C87ED" w14:textId="74AE7E41" w:rsidR="003213AC" w:rsidRDefault="003213AC" w:rsidP="003213AC">
            <w:pPr>
              <w:pStyle w:val="TableLeftText"/>
            </w:pPr>
            <w:r>
              <w:rPr>
                <w:rFonts w:cs="Calibri"/>
                <w:color w:val="4A4D56"/>
              </w:rPr>
              <w:t>Standard - BOC</w:t>
            </w:r>
          </w:p>
        </w:tc>
        <w:tc>
          <w:tcPr>
            <w:tcW w:w="1170" w:type="dxa"/>
            <w:tcBorders>
              <w:top w:val="nil"/>
            </w:tcBorders>
          </w:tcPr>
          <w:p w14:paraId="181759BB" w14:textId="6F11283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0.12</w:t>
            </w:r>
          </w:p>
        </w:tc>
        <w:tc>
          <w:tcPr>
            <w:tcW w:w="1620" w:type="dxa"/>
            <w:tcBorders>
              <w:top w:val="nil"/>
              <w:left w:val="nil"/>
            </w:tcBorders>
          </w:tcPr>
          <w:p w14:paraId="52DA0B1D" w14:textId="00400C71"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88%</w:t>
            </w:r>
          </w:p>
        </w:tc>
        <w:tc>
          <w:tcPr>
            <w:tcW w:w="1170" w:type="dxa"/>
            <w:tcBorders>
              <w:top w:val="nil"/>
              <w:left w:val="nil"/>
            </w:tcBorders>
          </w:tcPr>
          <w:p w14:paraId="11E92983" w14:textId="3429EB59"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0.11</w:t>
            </w:r>
          </w:p>
        </w:tc>
        <w:tc>
          <w:tcPr>
            <w:tcW w:w="1350" w:type="dxa"/>
            <w:tcBorders>
              <w:top w:val="nil"/>
              <w:left w:val="nil"/>
            </w:tcBorders>
          </w:tcPr>
          <w:p w14:paraId="38EA2F20" w14:textId="473673D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0B1EC2BC" w14:textId="0F063A40"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0.11</w:t>
            </w:r>
          </w:p>
        </w:tc>
      </w:tr>
      <w:tr w:rsidR="003213AC" w14:paraId="6C172990" w14:textId="77777777" w:rsidTr="00FF223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369AE854" w14:textId="441F1F20" w:rsidR="003213AC" w:rsidRDefault="003213AC" w:rsidP="003213AC">
            <w:pPr>
              <w:pStyle w:val="TableLeftText"/>
            </w:pPr>
            <w:r>
              <w:rPr>
                <w:rFonts w:cs="Calibri"/>
                <w:color w:val="4A4D56"/>
              </w:rPr>
              <w:t>Custom - Custom Incentives</w:t>
            </w:r>
          </w:p>
        </w:tc>
        <w:tc>
          <w:tcPr>
            <w:tcW w:w="1170" w:type="dxa"/>
            <w:tcBorders>
              <w:top w:val="nil"/>
            </w:tcBorders>
          </w:tcPr>
          <w:p w14:paraId="6FCFB9B3" w14:textId="75A786E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t>4.04</w:t>
            </w:r>
          </w:p>
        </w:tc>
        <w:tc>
          <w:tcPr>
            <w:tcW w:w="1620" w:type="dxa"/>
            <w:tcBorders>
              <w:top w:val="nil"/>
              <w:left w:val="nil"/>
            </w:tcBorders>
          </w:tcPr>
          <w:p w14:paraId="0F140A68" w14:textId="05B52650"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t>90%</w:t>
            </w:r>
          </w:p>
        </w:tc>
        <w:tc>
          <w:tcPr>
            <w:tcW w:w="1170" w:type="dxa"/>
            <w:tcBorders>
              <w:top w:val="nil"/>
              <w:left w:val="nil"/>
            </w:tcBorders>
          </w:tcPr>
          <w:p w14:paraId="0EDFED5C" w14:textId="2F6866F8"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t>3.63</w:t>
            </w:r>
          </w:p>
        </w:tc>
        <w:tc>
          <w:tcPr>
            <w:tcW w:w="1350" w:type="dxa"/>
            <w:tcBorders>
              <w:top w:val="nil"/>
              <w:left w:val="nil"/>
            </w:tcBorders>
          </w:tcPr>
          <w:p w14:paraId="3FA19107" w14:textId="4ED1B278"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t>0.830</w:t>
            </w:r>
          </w:p>
        </w:tc>
        <w:tc>
          <w:tcPr>
            <w:tcW w:w="982" w:type="dxa"/>
            <w:tcBorders>
              <w:top w:val="nil"/>
              <w:left w:val="nil"/>
            </w:tcBorders>
          </w:tcPr>
          <w:p w14:paraId="344592A2" w14:textId="0CA1189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t>3.00</w:t>
            </w:r>
          </w:p>
        </w:tc>
      </w:tr>
      <w:tr w:rsidR="003213AC" w14:paraId="71FE84FC"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4FA27BE9" w14:textId="24E51F96" w:rsidR="003213AC" w:rsidRDefault="003213AC" w:rsidP="003213AC">
            <w:pPr>
              <w:pStyle w:val="TableLeftText"/>
            </w:pPr>
            <w:r>
              <w:rPr>
                <w:rFonts w:cs="Calibri"/>
                <w:color w:val="4A4D56"/>
              </w:rPr>
              <w:t>Custom - New Construction Lighting</w:t>
            </w:r>
          </w:p>
        </w:tc>
        <w:tc>
          <w:tcPr>
            <w:tcW w:w="1170" w:type="dxa"/>
            <w:tcBorders>
              <w:top w:val="nil"/>
            </w:tcBorders>
          </w:tcPr>
          <w:p w14:paraId="27788A90" w14:textId="4764E609"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0.28</w:t>
            </w:r>
          </w:p>
        </w:tc>
        <w:tc>
          <w:tcPr>
            <w:tcW w:w="1620" w:type="dxa"/>
            <w:tcBorders>
              <w:top w:val="nil"/>
              <w:left w:val="nil"/>
            </w:tcBorders>
          </w:tcPr>
          <w:p w14:paraId="566885E3" w14:textId="04D9BAF8"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99%</w:t>
            </w:r>
          </w:p>
        </w:tc>
        <w:tc>
          <w:tcPr>
            <w:tcW w:w="1170" w:type="dxa"/>
            <w:tcBorders>
              <w:top w:val="nil"/>
              <w:left w:val="nil"/>
            </w:tcBorders>
          </w:tcPr>
          <w:p w14:paraId="02E52B90" w14:textId="2FE66B7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0.28</w:t>
            </w:r>
          </w:p>
        </w:tc>
        <w:tc>
          <w:tcPr>
            <w:tcW w:w="1350" w:type="dxa"/>
            <w:tcBorders>
              <w:top w:val="nil"/>
              <w:left w:val="nil"/>
            </w:tcBorders>
          </w:tcPr>
          <w:p w14:paraId="2CC4DB7A" w14:textId="35B4ECD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0.792</w:t>
            </w:r>
          </w:p>
        </w:tc>
        <w:tc>
          <w:tcPr>
            <w:tcW w:w="982" w:type="dxa"/>
            <w:tcBorders>
              <w:top w:val="nil"/>
              <w:left w:val="nil"/>
            </w:tcBorders>
          </w:tcPr>
          <w:p w14:paraId="17249897" w14:textId="78EE3084"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0.22</w:t>
            </w:r>
          </w:p>
        </w:tc>
      </w:tr>
      <w:tr w:rsidR="003213AC" w14:paraId="4BBE4E26"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4A4D56" w:themeColor="text1"/>
            </w:tcBorders>
          </w:tcPr>
          <w:p w14:paraId="584CB0FF" w14:textId="754F33A3" w:rsidR="003213AC" w:rsidRDefault="003213AC" w:rsidP="003213AC">
            <w:pPr>
              <w:pStyle w:val="TableLeftText"/>
            </w:pPr>
            <w:r>
              <w:rPr>
                <w:rFonts w:cs="Calibri"/>
                <w:color w:val="4A4D56"/>
              </w:rPr>
              <w:t>Retro-Commissioning - Core</w:t>
            </w:r>
          </w:p>
        </w:tc>
        <w:tc>
          <w:tcPr>
            <w:tcW w:w="1170" w:type="dxa"/>
            <w:tcBorders>
              <w:top w:val="nil"/>
            </w:tcBorders>
          </w:tcPr>
          <w:p w14:paraId="112F1C5A" w14:textId="48E6F72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0.05</w:t>
            </w:r>
          </w:p>
        </w:tc>
        <w:tc>
          <w:tcPr>
            <w:tcW w:w="1620" w:type="dxa"/>
            <w:tcBorders>
              <w:top w:val="nil"/>
              <w:left w:val="nil"/>
            </w:tcBorders>
          </w:tcPr>
          <w:p w14:paraId="575F69E2" w14:textId="5FA5AEE6"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79%</w:t>
            </w:r>
          </w:p>
        </w:tc>
        <w:tc>
          <w:tcPr>
            <w:tcW w:w="1170" w:type="dxa"/>
            <w:tcBorders>
              <w:top w:val="nil"/>
              <w:left w:val="nil"/>
            </w:tcBorders>
          </w:tcPr>
          <w:p w14:paraId="026DDDFE" w14:textId="72338BD0"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0.04</w:t>
            </w:r>
          </w:p>
        </w:tc>
        <w:tc>
          <w:tcPr>
            <w:tcW w:w="1350" w:type="dxa"/>
            <w:tcBorders>
              <w:top w:val="nil"/>
              <w:left w:val="nil"/>
            </w:tcBorders>
          </w:tcPr>
          <w:p w14:paraId="4BEA1969" w14:textId="3E8797B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0.945</w:t>
            </w:r>
          </w:p>
        </w:tc>
        <w:tc>
          <w:tcPr>
            <w:tcW w:w="982" w:type="dxa"/>
            <w:tcBorders>
              <w:top w:val="nil"/>
              <w:left w:val="nil"/>
            </w:tcBorders>
          </w:tcPr>
          <w:p w14:paraId="6EDDBD91" w14:textId="72D4D3C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0.04</w:t>
            </w:r>
          </w:p>
        </w:tc>
      </w:tr>
      <w:tr w:rsidR="003213AC" w14:paraId="4C9FB8EA"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C40B739" w14:textId="23162886" w:rsidR="003213AC" w:rsidRPr="00625570" w:rsidRDefault="003213AC" w:rsidP="003213AC">
            <w:pPr>
              <w:pStyle w:val="TableLeftText"/>
            </w:pPr>
            <w:r>
              <w:rPr>
                <w:rFonts w:cs="Calibri"/>
                <w:color w:val="4A4D56"/>
              </w:rPr>
              <w:t xml:space="preserve">Retro-Commissioning - </w:t>
            </w:r>
            <w:proofErr w:type="spellStart"/>
            <w:r>
              <w:rPr>
                <w:rFonts w:cs="Calibri"/>
                <w:color w:val="4A4D56"/>
              </w:rPr>
              <w:t>VCx</w:t>
            </w:r>
            <w:proofErr w:type="spellEnd"/>
          </w:p>
        </w:tc>
        <w:tc>
          <w:tcPr>
            <w:tcW w:w="1170" w:type="dxa"/>
            <w:tcBorders>
              <w:top w:val="nil"/>
            </w:tcBorders>
          </w:tcPr>
          <w:p w14:paraId="69C1F353" w14:textId="4D023531"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620" w:type="dxa"/>
            <w:tcBorders>
              <w:top w:val="nil"/>
              <w:left w:val="nil"/>
            </w:tcBorders>
          </w:tcPr>
          <w:p w14:paraId="50A0AD63" w14:textId="68BF7197"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70" w:type="dxa"/>
            <w:tcBorders>
              <w:top w:val="nil"/>
              <w:left w:val="nil"/>
            </w:tcBorders>
          </w:tcPr>
          <w:p w14:paraId="3F28A0EE" w14:textId="13759110"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350" w:type="dxa"/>
            <w:tcBorders>
              <w:top w:val="nil"/>
              <w:left w:val="nil"/>
            </w:tcBorders>
          </w:tcPr>
          <w:p w14:paraId="14B2AEDE" w14:textId="204AD92C"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25EB3D69" w14:textId="727A35F6"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r>
      <w:tr w:rsidR="003213AC" w14:paraId="0C513584"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685C5B2" w14:textId="137661C2" w:rsidR="003213AC" w:rsidRDefault="003213AC" w:rsidP="003213AC">
            <w:pPr>
              <w:pStyle w:val="TableLeftText"/>
            </w:pPr>
            <w:r>
              <w:rPr>
                <w:rFonts w:cs="Calibri"/>
                <w:color w:val="4A4D56"/>
              </w:rPr>
              <w:t>Retro-Commissioning - Virtual SEM</w:t>
            </w:r>
          </w:p>
        </w:tc>
        <w:tc>
          <w:tcPr>
            <w:tcW w:w="1170" w:type="dxa"/>
            <w:tcBorders>
              <w:top w:val="nil"/>
            </w:tcBorders>
          </w:tcPr>
          <w:p w14:paraId="74FE0B96" w14:textId="77BED7F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Borders>
              <w:top w:val="nil"/>
              <w:left w:val="nil"/>
            </w:tcBorders>
          </w:tcPr>
          <w:p w14:paraId="510F7619" w14:textId="6F7025D3"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70" w:type="dxa"/>
            <w:tcBorders>
              <w:top w:val="nil"/>
              <w:left w:val="nil"/>
            </w:tcBorders>
          </w:tcPr>
          <w:p w14:paraId="5932799E" w14:textId="3C67FCA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350" w:type="dxa"/>
            <w:tcBorders>
              <w:top w:val="nil"/>
              <w:left w:val="nil"/>
            </w:tcBorders>
          </w:tcPr>
          <w:p w14:paraId="007088C1" w14:textId="7C553769"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982" w:type="dxa"/>
            <w:tcBorders>
              <w:top w:val="nil"/>
              <w:left w:val="nil"/>
            </w:tcBorders>
          </w:tcPr>
          <w:p w14:paraId="783B0C3B" w14:textId="6C3BAAAE"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r>
      <w:tr w:rsidR="003213AC" w14:paraId="3A5881EB"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27EAE32" w14:textId="3AC349F3" w:rsidR="003213AC" w:rsidRDefault="003213AC" w:rsidP="003213AC">
            <w:pPr>
              <w:pStyle w:val="TableLeftText"/>
            </w:pPr>
            <w:r>
              <w:rPr>
                <w:rFonts w:cs="Calibri"/>
                <w:color w:val="4A4D56"/>
              </w:rPr>
              <w:t>Streetlighting - MOSL</w:t>
            </w:r>
          </w:p>
        </w:tc>
        <w:tc>
          <w:tcPr>
            <w:tcW w:w="1170" w:type="dxa"/>
            <w:tcBorders>
              <w:top w:val="nil"/>
            </w:tcBorders>
          </w:tcPr>
          <w:p w14:paraId="70ED7234" w14:textId="141F19BA"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620" w:type="dxa"/>
            <w:tcBorders>
              <w:top w:val="nil"/>
              <w:left w:val="nil"/>
            </w:tcBorders>
          </w:tcPr>
          <w:p w14:paraId="60431E03" w14:textId="082AAA4C"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70" w:type="dxa"/>
            <w:tcBorders>
              <w:top w:val="nil"/>
              <w:left w:val="nil"/>
            </w:tcBorders>
          </w:tcPr>
          <w:p w14:paraId="09E3534D" w14:textId="67D3E226"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350" w:type="dxa"/>
            <w:tcBorders>
              <w:top w:val="nil"/>
              <w:left w:val="nil"/>
            </w:tcBorders>
          </w:tcPr>
          <w:p w14:paraId="70FF6E43" w14:textId="4697C304"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1235F083" w14:textId="472149EB"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r>
      <w:tr w:rsidR="003213AC" w14:paraId="6BD1CF66"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07CF447" w14:textId="11C16729" w:rsidR="003213AC" w:rsidRDefault="003213AC" w:rsidP="003213AC">
            <w:pPr>
              <w:pStyle w:val="TableLeftText"/>
            </w:pPr>
            <w:r>
              <w:rPr>
                <w:rFonts w:cs="Calibri"/>
                <w:color w:val="4A4D56"/>
              </w:rPr>
              <w:t>Streetlighting - UOSL</w:t>
            </w:r>
          </w:p>
        </w:tc>
        <w:tc>
          <w:tcPr>
            <w:tcW w:w="1170" w:type="dxa"/>
            <w:tcBorders>
              <w:top w:val="nil"/>
            </w:tcBorders>
          </w:tcPr>
          <w:p w14:paraId="04B434D1" w14:textId="6B31B60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Borders>
              <w:top w:val="nil"/>
              <w:left w:val="nil"/>
            </w:tcBorders>
          </w:tcPr>
          <w:p w14:paraId="105AF47F" w14:textId="6D21EE1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70" w:type="dxa"/>
            <w:tcBorders>
              <w:top w:val="nil"/>
              <w:left w:val="nil"/>
            </w:tcBorders>
          </w:tcPr>
          <w:p w14:paraId="0C6252F4" w14:textId="49B7904B"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350" w:type="dxa"/>
            <w:tcBorders>
              <w:top w:val="nil"/>
              <w:left w:val="nil"/>
            </w:tcBorders>
          </w:tcPr>
          <w:p w14:paraId="33151190" w14:textId="2227600B"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982" w:type="dxa"/>
            <w:tcBorders>
              <w:top w:val="nil"/>
              <w:left w:val="nil"/>
            </w:tcBorders>
          </w:tcPr>
          <w:p w14:paraId="4A4FA09F" w14:textId="5B9C54D2"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r>
      <w:tr w:rsidR="003213AC" w14:paraId="08810440"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6B0E5B83" w14:textId="535DBD5A" w:rsidR="003213AC" w:rsidRDefault="003213AC" w:rsidP="003213AC">
            <w:pPr>
              <w:pStyle w:val="TableLeftText"/>
            </w:pPr>
            <w:r>
              <w:rPr>
                <w:rFonts w:cs="Calibri"/>
                <w:color w:val="4A4D56"/>
              </w:rPr>
              <w:t>Small Business - SBDI</w:t>
            </w:r>
          </w:p>
        </w:tc>
        <w:tc>
          <w:tcPr>
            <w:tcW w:w="1170" w:type="dxa"/>
            <w:tcBorders>
              <w:top w:val="nil"/>
            </w:tcBorders>
          </w:tcPr>
          <w:p w14:paraId="20D99A51" w14:textId="6BAA3CF9"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5.75</w:t>
            </w:r>
          </w:p>
        </w:tc>
        <w:tc>
          <w:tcPr>
            <w:tcW w:w="1620" w:type="dxa"/>
            <w:tcBorders>
              <w:top w:val="nil"/>
              <w:left w:val="nil"/>
            </w:tcBorders>
          </w:tcPr>
          <w:p w14:paraId="5701D44A" w14:textId="7CF1FB2A"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99%</w:t>
            </w:r>
          </w:p>
        </w:tc>
        <w:tc>
          <w:tcPr>
            <w:tcW w:w="1170" w:type="dxa"/>
            <w:tcBorders>
              <w:top w:val="nil"/>
              <w:left w:val="nil"/>
            </w:tcBorders>
          </w:tcPr>
          <w:p w14:paraId="7C3A03EE" w14:textId="6A3D6AD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5.71</w:t>
            </w:r>
          </w:p>
        </w:tc>
        <w:tc>
          <w:tcPr>
            <w:tcW w:w="1350" w:type="dxa"/>
            <w:tcBorders>
              <w:top w:val="nil"/>
              <w:left w:val="nil"/>
            </w:tcBorders>
          </w:tcPr>
          <w:p w14:paraId="58B5B4A0" w14:textId="5139ED8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0.918</w:t>
            </w:r>
          </w:p>
        </w:tc>
        <w:tc>
          <w:tcPr>
            <w:tcW w:w="982" w:type="dxa"/>
            <w:tcBorders>
              <w:top w:val="nil"/>
              <w:left w:val="nil"/>
            </w:tcBorders>
          </w:tcPr>
          <w:p w14:paraId="4DDF3F02" w14:textId="3659A82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5.25</w:t>
            </w:r>
          </w:p>
        </w:tc>
      </w:tr>
      <w:tr w:rsidR="003213AC" w14:paraId="0EA0BFC3"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588CBA87" w14:textId="080942E9" w:rsidR="003213AC" w:rsidRDefault="003213AC" w:rsidP="003213AC">
            <w:pPr>
              <w:pStyle w:val="TableLeftText"/>
            </w:pPr>
            <w:r>
              <w:rPr>
                <w:rFonts w:cs="Calibri"/>
                <w:color w:val="4A4D56"/>
              </w:rPr>
              <w:t>Small Business - SBEP</w:t>
            </w:r>
          </w:p>
        </w:tc>
        <w:tc>
          <w:tcPr>
            <w:tcW w:w="1170" w:type="dxa"/>
            <w:tcBorders>
              <w:top w:val="nil"/>
            </w:tcBorders>
          </w:tcPr>
          <w:p w14:paraId="29DCBE7C" w14:textId="43F37714"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0.11</w:t>
            </w:r>
          </w:p>
        </w:tc>
        <w:tc>
          <w:tcPr>
            <w:tcW w:w="1620" w:type="dxa"/>
            <w:tcBorders>
              <w:top w:val="nil"/>
              <w:left w:val="nil"/>
            </w:tcBorders>
          </w:tcPr>
          <w:p w14:paraId="1484750A" w14:textId="6E2C008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92%</w:t>
            </w:r>
          </w:p>
        </w:tc>
        <w:tc>
          <w:tcPr>
            <w:tcW w:w="1170" w:type="dxa"/>
            <w:tcBorders>
              <w:top w:val="nil"/>
              <w:left w:val="nil"/>
            </w:tcBorders>
          </w:tcPr>
          <w:p w14:paraId="388AB9E1" w14:textId="291DE33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0.11</w:t>
            </w:r>
          </w:p>
        </w:tc>
        <w:tc>
          <w:tcPr>
            <w:tcW w:w="1350" w:type="dxa"/>
            <w:tcBorders>
              <w:top w:val="nil"/>
              <w:left w:val="nil"/>
            </w:tcBorders>
          </w:tcPr>
          <w:p w14:paraId="3D09BDE3" w14:textId="7AA34FAE"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982" w:type="dxa"/>
            <w:tcBorders>
              <w:top w:val="nil"/>
              <w:left w:val="nil"/>
            </w:tcBorders>
          </w:tcPr>
          <w:p w14:paraId="39C67C71" w14:textId="6634D313"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0.11</w:t>
            </w:r>
          </w:p>
        </w:tc>
      </w:tr>
      <w:tr w:rsidR="003213AC" w14:paraId="758F83CA"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7E964F8" w14:textId="71E19723" w:rsidR="003213AC" w:rsidRDefault="003213AC" w:rsidP="003213AC">
            <w:pPr>
              <w:pStyle w:val="TableLeftText"/>
            </w:pPr>
            <w:r>
              <w:rPr>
                <w:rFonts w:cs="Calibri"/>
                <w:color w:val="4A4D56"/>
              </w:rPr>
              <w:t>Midstream - Lighting</w:t>
            </w:r>
          </w:p>
        </w:tc>
        <w:tc>
          <w:tcPr>
            <w:tcW w:w="1170" w:type="dxa"/>
            <w:tcBorders>
              <w:top w:val="nil"/>
            </w:tcBorders>
          </w:tcPr>
          <w:p w14:paraId="5FD362B9" w14:textId="3EF6DDF0"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6.74</w:t>
            </w:r>
          </w:p>
        </w:tc>
        <w:tc>
          <w:tcPr>
            <w:tcW w:w="1620" w:type="dxa"/>
            <w:tcBorders>
              <w:top w:val="nil"/>
              <w:left w:val="nil"/>
            </w:tcBorders>
          </w:tcPr>
          <w:p w14:paraId="4B7F2ADF" w14:textId="1FAD1EAD"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95%</w:t>
            </w:r>
          </w:p>
        </w:tc>
        <w:tc>
          <w:tcPr>
            <w:tcW w:w="1170" w:type="dxa"/>
            <w:tcBorders>
              <w:top w:val="nil"/>
              <w:left w:val="nil"/>
            </w:tcBorders>
          </w:tcPr>
          <w:p w14:paraId="689C9AC8" w14:textId="4F7E8832"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6.37</w:t>
            </w:r>
          </w:p>
        </w:tc>
        <w:tc>
          <w:tcPr>
            <w:tcW w:w="1350" w:type="dxa"/>
            <w:tcBorders>
              <w:top w:val="nil"/>
              <w:left w:val="nil"/>
            </w:tcBorders>
          </w:tcPr>
          <w:p w14:paraId="5AEAC877" w14:textId="443BCC97"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0.979</w:t>
            </w:r>
          </w:p>
        </w:tc>
        <w:tc>
          <w:tcPr>
            <w:tcW w:w="982" w:type="dxa"/>
            <w:tcBorders>
              <w:top w:val="nil"/>
              <w:left w:val="nil"/>
            </w:tcBorders>
          </w:tcPr>
          <w:p w14:paraId="7C1966F3" w14:textId="4524A24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6.24</w:t>
            </w:r>
          </w:p>
        </w:tc>
      </w:tr>
      <w:tr w:rsidR="003213AC" w14:paraId="3A31C72D"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1DBFE4FB" w14:textId="41271197" w:rsidR="003213AC" w:rsidRDefault="003213AC" w:rsidP="003213AC">
            <w:pPr>
              <w:pStyle w:val="TableLeftText"/>
            </w:pPr>
            <w:r>
              <w:rPr>
                <w:rFonts w:cs="Calibri"/>
                <w:color w:val="4A4D56"/>
              </w:rPr>
              <w:t>Midstream - HVAC</w:t>
            </w:r>
          </w:p>
        </w:tc>
        <w:tc>
          <w:tcPr>
            <w:tcW w:w="1170" w:type="dxa"/>
            <w:tcBorders>
              <w:top w:val="nil"/>
            </w:tcBorders>
          </w:tcPr>
          <w:p w14:paraId="65C029C1" w14:textId="5189CC81"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0.10</w:t>
            </w:r>
          </w:p>
        </w:tc>
        <w:tc>
          <w:tcPr>
            <w:tcW w:w="1620" w:type="dxa"/>
            <w:tcBorders>
              <w:top w:val="nil"/>
              <w:left w:val="nil"/>
            </w:tcBorders>
          </w:tcPr>
          <w:p w14:paraId="180EB046" w14:textId="2E775A3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105%</w:t>
            </w:r>
          </w:p>
        </w:tc>
        <w:tc>
          <w:tcPr>
            <w:tcW w:w="1170" w:type="dxa"/>
            <w:tcBorders>
              <w:top w:val="nil"/>
              <w:left w:val="nil"/>
            </w:tcBorders>
          </w:tcPr>
          <w:p w14:paraId="068D3B22" w14:textId="33CCB24B"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0.10</w:t>
            </w:r>
          </w:p>
        </w:tc>
        <w:tc>
          <w:tcPr>
            <w:tcW w:w="1350" w:type="dxa"/>
            <w:tcBorders>
              <w:top w:val="nil"/>
              <w:left w:val="nil"/>
            </w:tcBorders>
          </w:tcPr>
          <w:p w14:paraId="732248B0" w14:textId="4EE0B792"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0.696</w:t>
            </w:r>
          </w:p>
        </w:tc>
        <w:tc>
          <w:tcPr>
            <w:tcW w:w="982" w:type="dxa"/>
            <w:tcBorders>
              <w:top w:val="nil"/>
              <w:left w:val="nil"/>
            </w:tcBorders>
          </w:tcPr>
          <w:p w14:paraId="054B70C4" w14:textId="1DEF2B1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0.07</w:t>
            </w:r>
          </w:p>
        </w:tc>
      </w:tr>
      <w:tr w:rsidR="003213AC" w14:paraId="47C55F11"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22B2D720" w14:textId="68F2EE40" w:rsidR="003213AC" w:rsidRDefault="003213AC" w:rsidP="003213AC">
            <w:pPr>
              <w:pStyle w:val="TableLeftText"/>
            </w:pPr>
            <w:r>
              <w:rPr>
                <w:rFonts w:cs="Calibri"/>
                <w:color w:val="4A4D56"/>
              </w:rPr>
              <w:t>Midstream - Food Service</w:t>
            </w:r>
          </w:p>
        </w:tc>
        <w:tc>
          <w:tcPr>
            <w:tcW w:w="1170" w:type="dxa"/>
            <w:tcBorders>
              <w:top w:val="nil"/>
            </w:tcBorders>
          </w:tcPr>
          <w:p w14:paraId="41F3AEEE" w14:textId="6776F3D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0.08</w:t>
            </w:r>
          </w:p>
        </w:tc>
        <w:tc>
          <w:tcPr>
            <w:tcW w:w="1620" w:type="dxa"/>
            <w:tcBorders>
              <w:top w:val="nil"/>
              <w:left w:val="nil"/>
            </w:tcBorders>
          </w:tcPr>
          <w:p w14:paraId="3C8AC52A" w14:textId="59768D20"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55%</w:t>
            </w:r>
          </w:p>
        </w:tc>
        <w:tc>
          <w:tcPr>
            <w:tcW w:w="1170" w:type="dxa"/>
            <w:tcBorders>
              <w:top w:val="nil"/>
              <w:left w:val="nil"/>
            </w:tcBorders>
          </w:tcPr>
          <w:p w14:paraId="32BABAE5" w14:textId="3410F0AC"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0.05</w:t>
            </w:r>
          </w:p>
        </w:tc>
        <w:tc>
          <w:tcPr>
            <w:tcW w:w="1350" w:type="dxa"/>
            <w:tcBorders>
              <w:top w:val="nil"/>
              <w:left w:val="nil"/>
            </w:tcBorders>
          </w:tcPr>
          <w:p w14:paraId="40A0A67A" w14:textId="08EDCD7B"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0.853</w:t>
            </w:r>
          </w:p>
        </w:tc>
        <w:tc>
          <w:tcPr>
            <w:tcW w:w="982" w:type="dxa"/>
            <w:tcBorders>
              <w:top w:val="nil"/>
              <w:left w:val="nil"/>
            </w:tcBorders>
          </w:tcPr>
          <w:p w14:paraId="6E1F7481" w14:textId="25F096BE"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0.04</w:t>
            </w:r>
          </w:p>
        </w:tc>
      </w:tr>
      <w:tr w:rsidR="003213AC" w14:paraId="3E048518"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9DCDFB8" w14:textId="19D7AA60" w:rsidR="003213AC" w:rsidRPr="00832451" w:rsidRDefault="003213AC" w:rsidP="003213AC">
            <w:pPr>
              <w:pStyle w:val="TableLeftText"/>
              <w:rPr>
                <w:vertAlign w:val="superscript"/>
              </w:rPr>
            </w:pPr>
            <w:r>
              <w:rPr>
                <w:rFonts w:cs="Calibri"/>
                <w:color w:val="4A4D56"/>
              </w:rPr>
              <w:t xml:space="preserve">Midstream - Lighting </w:t>
            </w:r>
            <w:proofErr w:type="spellStart"/>
            <w:r>
              <w:rPr>
                <w:rFonts w:cs="Calibri"/>
                <w:color w:val="4A4D56"/>
              </w:rPr>
              <w:t>Carryover</w:t>
            </w:r>
            <w:r>
              <w:rPr>
                <w:rFonts w:cs="Calibri"/>
                <w:color w:val="4A4D56"/>
                <w:vertAlign w:val="superscript"/>
              </w:rPr>
              <w:t>a</w:t>
            </w:r>
            <w:proofErr w:type="spellEnd"/>
          </w:p>
        </w:tc>
        <w:tc>
          <w:tcPr>
            <w:tcW w:w="1170" w:type="dxa"/>
            <w:tcBorders>
              <w:top w:val="nil"/>
            </w:tcBorders>
          </w:tcPr>
          <w:p w14:paraId="297FA02A" w14:textId="194CCF71"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0.00</w:t>
            </w:r>
          </w:p>
        </w:tc>
        <w:tc>
          <w:tcPr>
            <w:tcW w:w="1620" w:type="dxa"/>
            <w:tcBorders>
              <w:top w:val="nil"/>
              <w:left w:val="nil"/>
            </w:tcBorders>
          </w:tcPr>
          <w:p w14:paraId="20302AB9" w14:textId="32BED76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70" w:type="dxa"/>
            <w:tcBorders>
              <w:top w:val="nil"/>
              <w:left w:val="nil"/>
            </w:tcBorders>
          </w:tcPr>
          <w:p w14:paraId="72E3CF46" w14:textId="5E5A4A7B"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0.84</w:t>
            </w:r>
          </w:p>
        </w:tc>
        <w:tc>
          <w:tcPr>
            <w:tcW w:w="1350" w:type="dxa"/>
            <w:tcBorders>
              <w:top w:val="nil"/>
              <w:left w:val="nil"/>
            </w:tcBorders>
          </w:tcPr>
          <w:p w14:paraId="2893A8FE" w14:textId="48E83623"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0.917</w:t>
            </w:r>
          </w:p>
        </w:tc>
        <w:tc>
          <w:tcPr>
            <w:tcW w:w="982" w:type="dxa"/>
            <w:tcBorders>
              <w:top w:val="nil"/>
              <w:left w:val="nil"/>
            </w:tcBorders>
          </w:tcPr>
          <w:p w14:paraId="43C6D5CA" w14:textId="0F71B44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0.77</w:t>
            </w:r>
          </w:p>
        </w:tc>
      </w:tr>
      <w:tr w:rsidR="003213AC" w14:paraId="4D31A4A3"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7711BECA" w14:textId="52BDFE59" w:rsidR="003213AC" w:rsidRDefault="003213AC" w:rsidP="003213AC">
            <w:pPr>
              <w:pStyle w:val="TableLeftText"/>
            </w:pPr>
            <w:r>
              <w:rPr>
                <w:rFonts w:cs="Calibri"/>
                <w:color w:val="4A4D56"/>
              </w:rPr>
              <w:t>LLLC Pilot</w:t>
            </w:r>
          </w:p>
        </w:tc>
        <w:tc>
          <w:tcPr>
            <w:tcW w:w="1170" w:type="dxa"/>
            <w:tcBorders>
              <w:top w:val="nil"/>
            </w:tcBorders>
          </w:tcPr>
          <w:p w14:paraId="7ED143B7" w14:textId="77954FA5"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620" w:type="dxa"/>
            <w:tcBorders>
              <w:top w:val="nil"/>
              <w:left w:val="nil"/>
            </w:tcBorders>
          </w:tcPr>
          <w:p w14:paraId="3D1FB8E5" w14:textId="361D564B"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70" w:type="dxa"/>
            <w:tcBorders>
              <w:top w:val="nil"/>
              <w:left w:val="nil"/>
            </w:tcBorders>
          </w:tcPr>
          <w:p w14:paraId="0504F4F3" w14:textId="1E843DB6"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c>
          <w:tcPr>
            <w:tcW w:w="1350" w:type="dxa"/>
            <w:tcBorders>
              <w:top w:val="nil"/>
              <w:left w:val="nil"/>
            </w:tcBorders>
          </w:tcPr>
          <w:p w14:paraId="2A35B3E5" w14:textId="5240270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982" w:type="dxa"/>
            <w:tcBorders>
              <w:top w:val="nil"/>
              <w:left w:val="nil"/>
            </w:tcBorders>
          </w:tcPr>
          <w:p w14:paraId="694312B5" w14:textId="02258B44"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0.00</w:t>
            </w:r>
          </w:p>
        </w:tc>
      </w:tr>
      <w:tr w:rsidR="00C0033C" w14:paraId="205B3116"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765" w:type="dxa"/>
          </w:tcPr>
          <w:p w14:paraId="4E72B3F9" w14:textId="72532488" w:rsidR="00C0033C" w:rsidRPr="00657D8A" w:rsidRDefault="00C0033C" w:rsidP="00C0033C">
            <w:pPr>
              <w:pStyle w:val="TableLeftText"/>
              <w:rPr>
                <w:rFonts w:ascii="Franklin Gothic Medium" w:hAnsi="Franklin Gothic Medium"/>
              </w:rPr>
            </w:pPr>
            <w:r>
              <w:rPr>
                <w:rFonts w:ascii="Franklin Gothic Medium" w:hAnsi="Franklin Gothic Medium" w:cs="Calibri"/>
                <w:color w:val="4A4D56"/>
              </w:rPr>
              <w:t>Business Program Total</w:t>
            </w:r>
          </w:p>
        </w:tc>
        <w:tc>
          <w:tcPr>
            <w:tcW w:w="1170" w:type="dxa"/>
          </w:tcPr>
          <w:p w14:paraId="216F3186" w14:textId="7AAD6E90"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29.62</w:t>
            </w:r>
          </w:p>
        </w:tc>
        <w:tc>
          <w:tcPr>
            <w:tcW w:w="1620" w:type="dxa"/>
            <w:tcBorders>
              <w:left w:val="nil"/>
            </w:tcBorders>
          </w:tcPr>
          <w:p w14:paraId="41CBA1E5" w14:textId="6A777F93"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96%</w:t>
            </w:r>
          </w:p>
        </w:tc>
        <w:tc>
          <w:tcPr>
            <w:tcW w:w="1170" w:type="dxa"/>
            <w:tcBorders>
              <w:left w:val="nil"/>
            </w:tcBorders>
          </w:tcPr>
          <w:p w14:paraId="3C0E9B38" w14:textId="05660E96"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29.39</w:t>
            </w:r>
          </w:p>
        </w:tc>
        <w:tc>
          <w:tcPr>
            <w:tcW w:w="1350" w:type="dxa"/>
            <w:tcBorders>
              <w:left w:val="nil"/>
            </w:tcBorders>
          </w:tcPr>
          <w:p w14:paraId="176582B2" w14:textId="374A3E59"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0.915</w:t>
            </w:r>
          </w:p>
        </w:tc>
        <w:tc>
          <w:tcPr>
            <w:tcW w:w="982" w:type="dxa"/>
          </w:tcPr>
          <w:p w14:paraId="2C53A7DA" w14:textId="023FB509"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26.</w:t>
            </w:r>
            <w:r w:rsidR="003213AC">
              <w:rPr>
                <w:rFonts w:ascii="Franklin Gothic Medium" w:hAnsi="Franklin Gothic Medium" w:cs="Calibri"/>
                <w:color w:val="4A4D56"/>
              </w:rPr>
              <w:t>90</w:t>
            </w:r>
          </w:p>
        </w:tc>
      </w:tr>
    </w:tbl>
    <w:p w14:paraId="57212341" w14:textId="40ED5799" w:rsidR="005C27B9" w:rsidRDefault="005C27B9" w:rsidP="005C27B9">
      <w:pPr>
        <w:keepNext/>
        <w:keepLines/>
        <w:spacing w:before="240"/>
        <w:jc w:val="center"/>
      </w:pPr>
      <w:bookmarkStart w:id="68" w:name="_Ref161317145"/>
      <w:bookmarkStart w:id="69" w:name="_Toc161320733"/>
      <w:bookmarkStart w:id="70" w:name="_Toc192774886"/>
      <w:r>
        <w:t xml:space="preserve">Table </w:t>
      </w:r>
      <w:r>
        <w:fldChar w:fldCharType="begin"/>
      </w:r>
      <w:r>
        <w:instrText xml:space="preserve"> SEQ Table \* ARABIC </w:instrText>
      </w:r>
      <w:r>
        <w:fldChar w:fldCharType="separate"/>
      </w:r>
      <w:r w:rsidR="00F8548D">
        <w:rPr>
          <w:noProof/>
        </w:rPr>
        <w:t>12</w:t>
      </w:r>
      <w:r>
        <w:rPr>
          <w:noProof/>
        </w:rPr>
        <w:fldChar w:fldCharType="end"/>
      </w:r>
      <w:bookmarkEnd w:id="68"/>
      <w:r>
        <w:t>. 202</w:t>
      </w:r>
      <w:r w:rsidR="00657D8A">
        <w:t>4</w:t>
      </w:r>
      <w:r>
        <w:t xml:space="preserve"> Business Program Gas Annual Savings Summary</w:t>
      </w:r>
      <w:bookmarkEnd w:id="69"/>
      <w:bookmarkEnd w:id="70"/>
    </w:p>
    <w:tbl>
      <w:tblPr>
        <w:tblStyle w:val="ODCBasic-1"/>
        <w:tblW w:w="0" w:type="auto"/>
        <w:tblLayout w:type="fixed"/>
        <w:tblCellMar>
          <w:top w:w="0" w:type="dxa"/>
          <w:bottom w:w="14" w:type="dxa"/>
        </w:tblCellMar>
        <w:tblLook w:val="04A0" w:firstRow="1" w:lastRow="0" w:firstColumn="1" w:lastColumn="0" w:noHBand="0" w:noVBand="1"/>
      </w:tblPr>
      <w:tblGrid>
        <w:gridCol w:w="4045"/>
        <w:gridCol w:w="1710"/>
        <w:gridCol w:w="1620"/>
        <w:gridCol w:w="1350"/>
        <w:gridCol w:w="1170"/>
        <w:gridCol w:w="1162"/>
      </w:tblGrid>
      <w:tr w:rsidR="005C27B9" w14:paraId="573FB433"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045" w:type="dxa"/>
            <w:tcBorders>
              <w:bottom w:val="single" w:sz="4" w:space="0" w:color="4A4D56" w:themeColor="text1"/>
              <w:right w:val="single" w:sz="4" w:space="0" w:color="4A4D56" w:themeColor="text1"/>
            </w:tcBorders>
          </w:tcPr>
          <w:p w14:paraId="2D524FBA" w14:textId="77777777" w:rsidR="005C27B9" w:rsidRPr="00625570" w:rsidRDefault="005C27B9" w:rsidP="002C7F49">
            <w:pPr>
              <w:pStyle w:val="TableHeadingLeft"/>
              <w:keepNext/>
              <w:keepLines/>
            </w:pPr>
            <w:r>
              <w:t>Initiative/Channel</w:t>
            </w:r>
          </w:p>
        </w:tc>
        <w:tc>
          <w:tcPr>
            <w:tcW w:w="1710" w:type="dxa"/>
            <w:tcBorders>
              <w:left w:val="single" w:sz="4" w:space="0" w:color="4A4D56" w:themeColor="text1"/>
              <w:bottom w:val="single" w:sz="4" w:space="0" w:color="4A4D56" w:themeColor="text1"/>
              <w:right w:val="single" w:sz="4" w:space="0" w:color="4A4D56" w:themeColor="text1"/>
            </w:tcBorders>
          </w:tcPr>
          <w:p w14:paraId="49C9679D"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Ex Ante Gross </w:t>
            </w:r>
            <w:proofErr w:type="spellStart"/>
            <w:r>
              <w:t>Therms</w:t>
            </w:r>
            <w:proofErr w:type="spellEnd"/>
          </w:p>
        </w:tc>
        <w:tc>
          <w:tcPr>
            <w:tcW w:w="1620" w:type="dxa"/>
            <w:tcBorders>
              <w:left w:val="single" w:sz="4" w:space="0" w:color="4A4D56" w:themeColor="text1"/>
              <w:bottom w:val="single" w:sz="4" w:space="0" w:color="4A4D56" w:themeColor="text1"/>
              <w:right w:val="single" w:sz="4" w:space="0" w:color="4A4D56" w:themeColor="text1"/>
            </w:tcBorders>
          </w:tcPr>
          <w:p w14:paraId="4E98D218"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Gross Realization Rate</w:t>
            </w:r>
          </w:p>
        </w:tc>
        <w:tc>
          <w:tcPr>
            <w:tcW w:w="1350" w:type="dxa"/>
            <w:tcBorders>
              <w:left w:val="single" w:sz="4" w:space="0" w:color="4A4D56" w:themeColor="text1"/>
              <w:bottom w:val="single" w:sz="4" w:space="0" w:color="4A4D56" w:themeColor="text1"/>
              <w:right w:val="single" w:sz="4" w:space="0" w:color="4A4D56" w:themeColor="text1"/>
            </w:tcBorders>
          </w:tcPr>
          <w:p w14:paraId="57C0B750"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Verified Gross </w:t>
            </w:r>
            <w:proofErr w:type="spellStart"/>
            <w:r>
              <w:t>Therms</w:t>
            </w:r>
            <w:proofErr w:type="spellEnd"/>
          </w:p>
        </w:tc>
        <w:tc>
          <w:tcPr>
            <w:tcW w:w="1170" w:type="dxa"/>
            <w:tcBorders>
              <w:left w:val="single" w:sz="4" w:space="0" w:color="4A4D56" w:themeColor="text1"/>
              <w:bottom w:val="single" w:sz="4" w:space="0" w:color="4A4D56" w:themeColor="text1"/>
              <w:right w:val="single" w:sz="4" w:space="0" w:color="4A4D56" w:themeColor="text1"/>
            </w:tcBorders>
          </w:tcPr>
          <w:p w14:paraId="174554AD"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NTGR</w:t>
            </w:r>
          </w:p>
        </w:tc>
        <w:tc>
          <w:tcPr>
            <w:tcW w:w="1162" w:type="dxa"/>
            <w:tcBorders>
              <w:left w:val="single" w:sz="4" w:space="0" w:color="4A4D56" w:themeColor="text1"/>
              <w:bottom w:val="single" w:sz="4" w:space="0" w:color="4A4D56" w:themeColor="text1"/>
            </w:tcBorders>
          </w:tcPr>
          <w:p w14:paraId="59CE37CE" w14:textId="77777777" w:rsidR="005C27B9" w:rsidRPr="00625570" w:rsidRDefault="005C27B9" w:rsidP="002C7F49">
            <w:pPr>
              <w:pStyle w:val="TableHeadingCentered"/>
              <w:keepNext/>
              <w:keepLines/>
              <w:cnfStyle w:val="100000000000" w:firstRow="1" w:lastRow="0" w:firstColumn="0" w:lastColumn="0" w:oddVBand="0" w:evenVBand="0" w:oddHBand="0" w:evenHBand="0" w:firstRowFirstColumn="0" w:firstRowLastColumn="0" w:lastRowFirstColumn="0" w:lastRowLastColumn="0"/>
            </w:pPr>
            <w:r>
              <w:t xml:space="preserve">Verified Net </w:t>
            </w:r>
            <w:proofErr w:type="spellStart"/>
            <w:r>
              <w:t>Therms</w:t>
            </w:r>
            <w:proofErr w:type="spellEnd"/>
          </w:p>
        </w:tc>
      </w:tr>
      <w:tr w:rsidR="003213AC" w14:paraId="438A080F"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41F0E49D" w14:textId="3299A8C5" w:rsidR="003213AC" w:rsidRPr="00625570" w:rsidRDefault="003213AC" w:rsidP="003213AC">
            <w:pPr>
              <w:pStyle w:val="TableLeftText"/>
              <w:keepNext/>
              <w:keepLines/>
            </w:pPr>
            <w:r>
              <w:rPr>
                <w:rFonts w:cs="Calibri"/>
                <w:color w:val="4A4D56"/>
              </w:rPr>
              <w:t>Standard - Core</w:t>
            </w:r>
          </w:p>
        </w:tc>
        <w:tc>
          <w:tcPr>
            <w:tcW w:w="1710" w:type="dxa"/>
          </w:tcPr>
          <w:p w14:paraId="517F3DF1" w14:textId="45569AB5"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1,555,181</w:t>
            </w:r>
          </w:p>
        </w:tc>
        <w:tc>
          <w:tcPr>
            <w:tcW w:w="1620" w:type="dxa"/>
            <w:tcBorders>
              <w:left w:val="nil"/>
            </w:tcBorders>
          </w:tcPr>
          <w:p w14:paraId="19781767" w14:textId="2679FA6E"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100%</w:t>
            </w:r>
          </w:p>
        </w:tc>
        <w:tc>
          <w:tcPr>
            <w:tcW w:w="1350" w:type="dxa"/>
            <w:tcBorders>
              <w:left w:val="nil"/>
            </w:tcBorders>
          </w:tcPr>
          <w:p w14:paraId="2F267D85" w14:textId="30891E49"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1,560,052</w:t>
            </w:r>
          </w:p>
        </w:tc>
        <w:tc>
          <w:tcPr>
            <w:tcW w:w="1170" w:type="dxa"/>
            <w:tcBorders>
              <w:left w:val="nil"/>
            </w:tcBorders>
          </w:tcPr>
          <w:p w14:paraId="72AA2C82" w14:textId="175BA592"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0.717</w:t>
            </w:r>
          </w:p>
        </w:tc>
        <w:tc>
          <w:tcPr>
            <w:tcW w:w="1162" w:type="dxa"/>
            <w:tcBorders>
              <w:left w:val="nil"/>
            </w:tcBorders>
          </w:tcPr>
          <w:p w14:paraId="057A653A" w14:textId="31EB9DB8"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1,119,276</w:t>
            </w:r>
          </w:p>
        </w:tc>
      </w:tr>
      <w:tr w:rsidR="003213AC" w14:paraId="6BE48FBB"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216404D0" w14:textId="45CC6386" w:rsidR="003213AC" w:rsidRDefault="003213AC" w:rsidP="003213AC">
            <w:pPr>
              <w:pStyle w:val="TableLeftText"/>
              <w:keepNext/>
              <w:keepLines/>
            </w:pPr>
            <w:r>
              <w:rPr>
                <w:rFonts w:cs="Calibri"/>
                <w:color w:val="4A4D56"/>
              </w:rPr>
              <w:t>Standard - OS</w:t>
            </w:r>
          </w:p>
        </w:tc>
        <w:tc>
          <w:tcPr>
            <w:tcW w:w="1710" w:type="dxa"/>
            <w:tcBorders>
              <w:top w:val="nil"/>
            </w:tcBorders>
          </w:tcPr>
          <w:p w14:paraId="15195F7B" w14:textId="352B28AC" w:rsidR="003213AC" w:rsidRPr="00987F21" w:rsidRDefault="003213AC" w:rsidP="003213A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107,812</w:t>
            </w:r>
          </w:p>
        </w:tc>
        <w:tc>
          <w:tcPr>
            <w:tcW w:w="1620" w:type="dxa"/>
            <w:tcBorders>
              <w:top w:val="nil"/>
              <w:left w:val="nil"/>
            </w:tcBorders>
          </w:tcPr>
          <w:p w14:paraId="0970A2D7" w14:textId="53C427A6" w:rsidR="003213AC" w:rsidRPr="00987F21" w:rsidRDefault="003213AC" w:rsidP="003213A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w:t>
            </w:r>
          </w:p>
        </w:tc>
        <w:tc>
          <w:tcPr>
            <w:tcW w:w="1350" w:type="dxa"/>
            <w:tcBorders>
              <w:top w:val="nil"/>
              <w:left w:val="nil"/>
            </w:tcBorders>
          </w:tcPr>
          <w:p w14:paraId="4123CB93" w14:textId="2731EAFD" w:rsidR="003213AC" w:rsidRPr="00987F21" w:rsidRDefault="003213AC" w:rsidP="003213A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107,812</w:t>
            </w:r>
          </w:p>
        </w:tc>
        <w:tc>
          <w:tcPr>
            <w:tcW w:w="1170" w:type="dxa"/>
            <w:tcBorders>
              <w:top w:val="nil"/>
              <w:left w:val="nil"/>
            </w:tcBorders>
          </w:tcPr>
          <w:p w14:paraId="1545AC75" w14:textId="4110C407" w:rsidR="003213AC" w:rsidRPr="00987F21" w:rsidRDefault="003213AC" w:rsidP="003213A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0.910</w:t>
            </w:r>
          </w:p>
        </w:tc>
        <w:tc>
          <w:tcPr>
            <w:tcW w:w="1162" w:type="dxa"/>
            <w:tcBorders>
              <w:top w:val="nil"/>
              <w:left w:val="nil"/>
            </w:tcBorders>
          </w:tcPr>
          <w:p w14:paraId="2CF5C71E" w14:textId="3B3D0B66" w:rsidR="003213AC" w:rsidRPr="00987F21" w:rsidRDefault="003213AC" w:rsidP="003213AC">
            <w:pPr>
              <w:pStyle w:val="TableCenterText"/>
              <w:keepNext/>
              <w:keepLines/>
              <w:jc w:val="right"/>
              <w:cnfStyle w:val="000000010000" w:firstRow="0" w:lastRow="0" w:firstColumn="0" w:lastColumn="0" w:oddVBand="0" w:evenVBand="0" w:oddHBand="0" w:evenHBand="1" w:firstRowFirstColumn="0" w:firstRowLastColumn="0" w:lastRowFirstColumn="0" w:lastRowLastColumn="0"/>
            </w:pPr>
            <w:r>
              <w:rPr>
                <w:rFonts w:cs="Calibri"/>
                <w:color w:val="4A4D56"/>
              </w:rPr>
              <w:t>98,062</w:t>
            </w:r>
          </w:p>
        </w:tc>
      </w:tr>
      <w:tr w:rsidR="003213AC" w14:paraId="530C413D"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3A6ADDDD" w14:textId="69F325DD" w:rsidR="003213AC" w:rsidRDefault="003213AC" w:rsidP="003213AC">
            <w:pPr>
              <w:pStyle w:val="TableLeftText"/>
              <w:keepNext/>
              <w:keepLines/>
            </w:pPr>
            <w:r>
              <w:rPr>
                <w:rFonts w:cs="Calibri"/>
                <w:color w:val="4A4D56"/>
              </w:rPr>
              <w:t>Standard - BOC</w:t>
            </w:r>
          </w:p>
        </w:tc>
        <w:tc>
          <w:tcPr>
            <w:tcW w:w="1710" w:type="dxa"/>
            <w:tcBorders>
              <w:top w:val="nil"/>
            </w:tcBorders>
          </w:tcPr>
          <w:p w14:paraId="30CE348A" w14:textId="7E22A6F5"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16,100</w:t>
            </w:r>
          </w:p>
        </w:tc>
        <w:tc>
          <w:tcPr>
            <w:tcW w:w="1620" w:type="dxa"/>
            <w:tcBorders>
              <w:top w:val="nil"/>
              <w:left w:val="nil"/>
            </w:tcBorders>
          </w:tcPr>
          <w:p w14:paraId="71C25005" w14:textId="126C04E9"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86%</w:t>
            </w:r>
          </w:p>
        </w:tc>
        <w:tc>
          <w:tcPr>
            <w:tcW w:w="1350" w:type="dxa"/>
            <w:tcBorders>
              <w:top w:val="nil"/>
              <w:left w:val="nil"/>
            </w:tcBorders>
          </w:tcPr>
          <w:p w14:paraId="4684D15E" w14:textId="55051484"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13,800</w:t>
            </w:r>
          </w:p>
        </w:tc>
        <w:tc>
          <w:tcPr>
            <w:tcW w:w="1170" w:type="dxa"/>
            <w:tcBorders>
              <w:top w:val="nil"/>
              <w:left w:val="nil"/>
            </w:tcBorders>
          </w:tcPr>
          <w:p w14:paraId="7060DF3C" w14:textId="3EF0FCCC"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4F60E3B4" w14:textId="3E1EE6B7" w:rsidR="003213AC" w:rsidRPr="00987F21" w:rsidRDefault="003213AC" w:rsidP="003213AC">
            <w:pPr>
              <w:pStyle w:val="TableCenterText"/>
              <w:keepNext/>
              <w:keepLines/>
              <w:jc w:val="right"/>
              <w:cnfStyle w:val="000000100000" w:firstRow="0" w:lastRow="0" w:firstColumn="0" w:lastColumn="0" w:oddVBand="0" w:evenVBand="0" w:oddHBand="1" w:evenHBand="0" w:firstRowFirstColumn="0" w:firstRowLastColumn="0" w:lastRowFirstColumn="0" w:lastRowLastColumn="0"/>
            </w:pPr>
            <w:r>
              <w:rPr>
                <w:rFonts w:cs="Calibri"/>
                <w:color w:val="4A4D56"/>
              </w:rPr>
              <w:t>13,800</w:t>
            </w:r>
          </w:p>
        </w:tc>
      </w:tr>
      <w:tr w:rsidR="003213AC" w14:paraId="4447D45D"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182F9AA1" w14:textId="1F1D90A3" w:rsidR="003213AC" w:rsidRDefault="003213AC" w:rsidP="003213AC">
            <w:pPr>
              <w:pStyle w:val="TableLeftText"/>
            </w:pPr>
            <w:r>
              <w:rPr>
                <w:rFonts w:cs="Calibri"/>
                <w:color w:val="4A4D56"/>
              </w:rPr>
              <w:t>Custom - Custom Incentives</w:t>
            </w:r>
          </w:p>
        </w:tc>
        <w:tc>
          <w:tcPr>
            <w:tcW w:w="1710" w:type="dxa"/>
            <w:tcBorders>
              <w:top w:val="nil"/>
            </w:tcBorders>
          </w:tcPr>
          <w:p w14:paraId="754BC151" w14:textId="0936DCB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1,454,451</w:t>
            </w:r>
          </w:p>
        </w:tc>
        <w:tc>
          <w:tcPr>
            <w:tcW w:w="1620" w:type="dxa"/>
            <w:tcBorders>
              <w:top w:val="nil"/>
              <w:left w:val="nil"/>
            </w:tcBorders>
          </w:tcPr>
          <w:p w14:paraId="76442E6B" w14:textId="18BE0238"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130%</w:t>
            </w:r>
          </w:p>
        </w:tc>
        <w:tc>
          <w:tcPr>
            <w:tcW w:w="1350" w:type="dxa"/>
            <w:tcBorders>
              <w:top w:val="nil"/>
              <w:left w:val="nil"/>
            </w:tcBorders>
          </w:tcPr>
          <w:p w14:paraId="30B5B196" w14:textId="4C67D87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1,892,411</w:t>
            </w:r>
          </w:p>
        </w:tc>
        <w:tc>
          <w:tcPr>
            <w:tcW w:w="1170" w:type="dxa"/>
            <w:tcBorders>
              <w:top w:val="nil"/>
              <w:left w:val="nil"/>
            </w:tcBorders>
          </w:tcPr>
          <w:p w14:paraId="456AA4EE" w14:textId="46E90B73"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0.834</w:t>
            </w:r>
          </w:p>
        </w:tc>
        <w:tc>
          <w:tcPr>
            <w:tcW w:w="1162" w:type="dxa"/>
            <w:tcBorders>
              <w:top w:val="nil"/>
              <w:left w:val="nil"/>
            </w:tcBorders>
          </w:tcPr>
          <w:p w14:paraId="27460558" w14:textId="75692506"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1,577,836</w:t>
            </w:r>
          </w:p>
        </w:tc>
      </w:tr>
      <w:tr w:rsidR="003213AC" w14:paraId="7796E9FF"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12AAD3FF" w14:textId="30289717" w:rsidR="003213AC" w:rsidRDefault="003213AC" w:rsidP="003213AC">
            <w:pPr>
              <w:pStyle w:val="TableLeftText"/>
            </w:pPr>
            <w:r>
              <w:rPr>
                <w:rFonts w:cs="Calibri"/>
                <w:color w:val="4A4D56"/>
              </w:rPr>
              <w:t>Custom - New Construction Lighting</w:t>
            </w:r>
          </w:p>
        </w:tc>
        <w:tc>
          <w:tcPr>
            <w:tcW w:w="1710" w:type="dxa"/>
            <w:tcBorders>
              <w:top w:val="nil"/>
            </w:tcBorders>
          </w:tcPr>
          <w:p w14:paraId="3E9399CE" w14:textId="71DB8EF6"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3F804835" w14:textId="0F085D65"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375EE0F6" w14:textId="4EF3A011"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4DE910B0" w14:textId="735084BD"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0132092E" w14:textId="73013B52"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3213AC" w14:paraId="46173348"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30C0A51F" w14:textId="481523B4" w:rsidR="003213AC" w:rsidRDefault="003213AC" w:rsidP="003213AC">
            <w:pPr>
              <w:pStyle w:val="TableLeftText"/>
            </w:pPr>
            <w:r>
              <w:rPr>
                <w:rFonts w:cs="Calibri"/>
                <w:color w:val="4A4D56"/>
              </w:rPr>
              <w:t>Retro-Commissioning - Core</w:t>
            </w:r>
          </w:p>
        </w:tc>
        <w:tc>
          <w:tcPr>
            <w:tcW w:w="1710" w:type="dxa"/>
            <w:tcBorders>
              <w:top w:val="nil"/>
            </w:tcBorders>
          </w:tcPr>
          <w:p w14:paraId="698B68C2" w14:textId="6CB0862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620" w:type="dxa"/>
            <w:tcBorders>
              <w:top w:val="nil"/>
              <w:left w:val="nil"/>
            </w:tcBorders>
          </w:tcPr>
          <w:p w14:paraId="243EBF4B" w14:textId="4B185074"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350" w:type="dxa"/>
            <w:tcBorders>
              <w:top w:val="nil"/>
              <w:left w:val="nil"/>
            </w:tcBorders>
          </w:tcPr>
          <w:p w14:paraId="163D761E" w14:textId="7ED33F63"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170" w:type="dxa"/>
            <w:tcBorders>
              <w:top w:val="nil"/>
              <w:left w:val="nil"/>
            </w:tcBorders>
          </w:tcPr>
          <w:p w14:paraId="4EE91685" w14:textId="0933C396"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62" w:type="dxa"/>
            <w:tcBorders>
              <w:top w:val="nil"/>
              <w:left w:val="nil"/>
            </w:tcBorders>
          </w:tcPr>
          <w:p w14:paraId="5F11B9F1" w14:textId="21E30678"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r>
      <w:tr w:rsidR="003213AC" w14:paraId="60019419"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4A4D56" w:themeColor="text1"/>
            </w:tcBorders>
          </w:tcPr>
          <w:p w14:paraId="4BAD7A34" w14:textId="31ED0F81" w:rsidR="003213AC" w:rsidRDefault="003213AC" w:rsidP="003213AC">
            <w:pPr>
              <w:pStyle w:val="TableLeftText"/>
            </w:pPr>
            <w:r>
              <w:rPr>
                <w:rFonts w:cs="Calibri"/>
                <w:color w:val="4A4D56"/>
              </w:rPr>
              <w:t xml:space="preserve">Retro-Commissioning - </w:t>
            </w:r>
            <w:proofErr w:type="spellStart"/>
            <w:r>
              <w:rPr>
                <w:rFonts w:cs="Calibri"/>
                <w:color w:val="4A4D56"/>
              </w:rPr>
              <w:t>VCx</w:t>
            </w:r>
            <w:proofErr w:type="spellEnd"/>
          </w:p>
        </w:tc>
        <w:tc>
          <w:tcPr>
            <w:tcW w:w="1710" w:type="dxa"/>
            <w:tcBorders>
              <w:top w:val="nil"/>
            </w:tcBorders>
          </w:tcPr>
          <w:p w14:paraId="5935F78D" w14:textId="55DC5880" w:rsidR="003213AC" w:rsidRPr="001F1470"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0666D430" w14:textId="013BF88D" w:rsidR="003213AC" w:rsidRPr="001F1470"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31E6E17F" w14:textId="74BAE8B9" w:rsidR="003213AC" w:rsidRPr="001F1470"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0165977D" w14:textId="417F078E" w:rsidR="003213AC" w:rsidRPr="001F1470"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31713B6D" w14:textId="4151ABD3" w:rsidR="003213AC" w:rsidRPr="001F1470"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3213AC" w14:paraId="7F95FE0F"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739BD5FE" w14:textId="22CF5FDC" w:rsidR="003213AC" w:rsidRPr="00625570" w:rsidRDefault="003213AC" w:rsidP="003213AC">
            <w:pPr>
              <w:pStyle w:val="TableLeftText"/>
            </w:pPr>
            <w:r>
              <w:rPr>
                <w:rFonts w:cs="Calibri"/>
                <w:color w:val="4A4D56"/>
              </w:rPr>
              <w:t>Retro-Commissioning - Virtual SEM</w:t>
            </w:r>
          </w:p>
        </w:tc>
        <w:tc>
          <w:tcPr>
            <w:tcW w:w="1710" w:type="dxa"/>
            <w:tcBorders>
              <w:top w:val="nil"/>
            </w:tcBorders>
          </w:tcPr>
          <w:p w14:paraId="3C6D6E7B" w14:textId="0AEF402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620" w:type="dxa"/>
            <w:tcBorders>
              <w:top w:val="nil"/>
              <w:left w:val="nil"/>
            </w:tcBorders>
          </w:tcPr>
          <w:p w14:paraId="4D342C3D" w14:textId="177E139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350" w:type="dxa"/>
            <w:tcBorders>
              <w:top w:val="nil"/>
              <w:left w:val="nil"/>
            </w:tcBorders>
          </w:tcPr>
          <w:p w14:paraId="65920BE8" w14:textId="5AC2F48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170" w:type="dxa"/>
            <w:tcBorders>
              <w:top w:val="nil"/>
              <w:left w:val="nil"/>
            </w:tcBorders>
          </w:tcPr>
          <w:p w14:paraId="2EDFA4C4" w14:textId="042CBDD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62" w:type="dxa"/>
            <w:tcBorders>
              <w:top w:val="nil"/>
              <w:left w:val="nil"/>
            </w:tcBorders>
          </w:tcPr>
          <w:p w14:paraId="54C0B2BE" w14:textId="437C655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r>
      <w:tr w:rsidR="003213AC" w14:paraId="1DD3DD03"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384079E3" w14:textId="15651E8D" w:rsidR="003213AC" w:rsidRDefault="003213AC" w:rsidP="003213AC">
            <w:pPr>
              <w:pStyle w:val="TableLeftText"/>
            </w:pPr>
            <w:r>
              <w:rPr>
                <w:rFonts w:cs="Calibri"/>
                <w:color w:val="4A4D56"/>
              </w:rPr>
              <w:t>Streetlighting - MOSL</w:t>
            </w:r>
          </w:p>
        </w:tc>
        <w:tc>
          <w:tcPr>
            <w:tcW w:w="1710" w:type="dxa"/>
            <w:tcBorders>
              <w:top w:val="nil"/>
            </w:tcBorders>
          </w:tcPr>
          <w:p w14:paraId="1C90DDCC" w14:textId="0AFB5F6C"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7C9996E6" w14:textId="68886183"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2B3EF3CF" w14:textId="5311D008"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291C2896" w14:textId="6D669CE5"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384DDAE9" w14:textId="149DDCCE"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3213AC" w14:paraId="1E91FFBA"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63D270B0" w14:textId="533A6244" w:rsidR="003213AC" w:rsidRDefault="003213AC" w:rsidP="003213AC">
            <w:pPr>
              <w:pStyle w:val="TableLeftText"/>
            </w:pPr>
            <w:r>
              <w:rPr>
                <w:rFonts w:cs="Calibri"/>
                <w:color w:val="4A4D56"/>
              </w:rPr>
              <w:lastRenderedPageBreak/>
              <w:t>Streetlighting - UOSL</w:t>
            </w:r>
          </w:p>
        </w:tc>
        <w:tc>
          <w:tcPr>
            <w:tcW w:w="1710" w:type="dxa"/>
            <w:tcBorders>
              <w:top w:val="nil"/>
            </w:tcBorders>
          </w:tcPr>
          <w:p w14:paraId="1B39FD69" w14:textId="26CCCE5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620" w:type="dxa"/>
            <w:tcBorders>
              <w:top w:val="nil"/>
              <w:left w:val="nil"/>
            </w:tcBorders>
          </w:tcPr>
          <w:p w14:paraId="1ABB6716" w14:textId="1A15DBA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350" w:type="dxa"/>
            <w:tcBorders>
              <w:top w:val="nil"/>
              <w:left w:val="nil"/>
            </w:tcBorders>
          </w:tcPr>
          <w:p w14:paraId="226E647A" w14:textId="5398073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170" w:type="dxa"/>
            <w:tcBorders>
              <w:top w:val="nil"/>
              <w:left w:val="nil"/>
            </w:tcBorders>
          </w:tcPr>
          <w:p w14:paraId="0011599E" w14:textId="0A5953EC"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62" w:type="dxa"/>
            <w:tcBorders>
              <w:top w:val="nil"/>
              <w:left w:val="nil"/>
            </w:tcBorders>
          </w:tcPr>
          <w:p w14:paraId="34A7A5D7" w14:textId="1FF54C2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r>
      <w:tr w:rsidR="003213AC" w14:paraId="0AF1A9AE"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620C42C8" w14:textId="6F443921" w:rsidR="003213AC" w:rsidRDefault="003213AC" w:rsidP="003213AC">
            <w:pPr>
              <w:pStyle w:val="TableLeftText"/>
            </w:pPr>
            <w:r>
              <w:rPr>
                <w:rFonts w:cs="Calibri"/>
                <w:color w:val="4A4D56"/>
              </w:rPr>
              <w:t>Small Business - SBDI</w:t>
            </w:r>
          </w:p>
        </w:tc>
        <w:tc>
          <w:tcPr>
            <w:tcW w:w="1710" w:type="dxa"/>
            <w:tcBorders>
              <w:top w:val="nil"/>
            </w:tcBorders>
          </w:tcPr>
          <w:p w14:paraId="0B6AE60D" w14:textId="53AEDA97"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1F0829B6" w14:textId="7604B4E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1734EC4F" w14:textId="2D9E2C1D"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645A4739" w14:textId="280F0E9B"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766B3C35" w14:textId="64B02161"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3213AC" w14:paraId="70E7EE32"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74072564" w14:textId="5CE8A2F0" w:rsidR="003213AC" w:rsidRDefault="003213AC" w:rsidP="003213AC">
            <w:pPr>
              <w:pStyle w:val="TableLeftText"/>
            </w:pPr>
            <w:r>
              <w:rPr>
                <w:rFonts w:cs="Calibri"/>
                <w:color w:val="4A4D56"/>
              </w:rPr>
              <w:t>Small Business - SBEP</w:t>
            </w:r>
          </w:p>
        </w:tc>
        <w:tc>
          <w:tcPr>
            <w:tcW w:w="1710" w:type="dxa"/>
            <w:tcBorders>
              <w:top w:val="nil"/>
            </w:tcBorders>
          </w:tcPr>
          <w:p w14:paraId="51325B79" w14:textId="71FD169E"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18,280</w:t>
            </w:r>
          </w:p>
        </w:tc>
        <w:tc>
          <w:tcPr>
            <w:tcW w:w="1620" w:type="dxa"/>
            <w:tcBorders>
              <w:top w:val="nil"/>
              <w:left w:val="nil"/>
            </w:tcBorders>
          </w:tcPr>
          <w:p w14:paraId="13EC0B66" w14:textId="1559938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106%</w:t>
            </w:r>
          </w:p>
        </w:tc>
        <w:tc>
          <w:tcPr>
            <w:tcW w:w="1350" w:type="dxa"/>
            <w:tcBorders>
              <w:top w:val="nil"/>
              <w:left w:val="nil"/>
            </w:tcBorders>
          </w:tcPr>
          <w:p w14:paraId="617E04BF" w14:textId="287E4E48"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19,319</w:t>
            </w:r>
          </w:p>
        </w:tc>
        <w:tc>
          <w:tcPr>
            <w:tcW w:w="1170" w:type="dxa"/>
            <w:tcBorders>
              <w:top w:val="nil"/>
              <w:left w:val="nil"/>
            </w:tcBorders>
          </w:tcPr>
          <w:p w14:paraId="3A88F22C" w14:textId="108DF3A1"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1.000</w:t>
            </w:r>
          </w:p>
        </w:tc>
        <w:tc>
          <w:tcPr>
            <w:tcW w:w="1162" w:type="dxa"/>
            <w:tcBorders>
              <w:top w:val="nil"/>
              <w:left w:val="nil"/>
            </w:tcBorders>
          </w:tcPr>
          <w:p w14:paraId="32BF5335" w14:textId="30C8284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19,319</w:t>
            </w:r>
          </w:p>
        </w:tc>
      </w:tr>
      <w:tr w:rsidR="003213AC" w14:paraId="6CE27797"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0CA9DB1E" w14:textId="4EDF715F" w:rsidR="003213AC" w:rsidRDefault="003213AC" w:rsidP="003213AC">
            <w:pPr>
              <w:pStyle w:val="TableLeftText"/>
            </w:pPr>
            <w:r>
              <w:rPr>
                <w:rFonts w:cs="Calibri"/>
                <w:color w:val="4A4D56"/>
              </w:rPr>
              <w:t>Midstream - Lighting</w:t>
            </w:r>
          </w:p>
        </w:tc>
        <w:tc>
          <w:tcPr>
            <w:tcW w:w="1710" w:type="dxa"/>
            <w:tcBorders>
              <w:top w:val="nil"/>
            </w:tcBorders>
          </w:tcPr>
          <w:p w14:paraId="6B47D78D" w14:textId="37CB7E85"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3E252B44" w14:textId="14C1732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32F9B109" w14:textId="5C6C94C2"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30097E3D" w14:textId="4C93C9A4"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773CA713" w14:textId="5CAB7962"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3213AC" w14:paraId="4F3C3742"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4712C714" w14:textId="2F5C3F7A" w:rsidR="003213AC" w:rsidRDefault="003213AC" w:rsidP="003213AC">
            <w:pPr>
              <w:pStyle w:val="TableLeftText"/>
            </w:pPr>
            <w:r>
              <w:rPr>
                <w:rFonts w:cs="Calibri"/>
                <w:color w:val="4A4D56"/>
              </w:rPr>
              <w:t>Midstream - HVAC</w:t>
            </w:r>
          </w:p>
        </w:tc>
        <w:tc>
          <w:tcPr>
            <w:tcW w:w="1710" w:type="dxa"/>
            <w:tcBorders>
              <w:top w:val="nil"/>
            </w:tcBorders>
          </w:tcPr>
          <w:p w14:paraId="366C2168" w14:textId="1BD4328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7,469</w:t>
            </w:r>
          </w:p>
        </w:tc>
        <w:tc>
          <w:tcPr>
            <w:tcW w:w="1620" w:type="dxa"/>
            <w:tcBorders>
              <w:top w:val="nil"/>
              <w:left w:val="nil"/>
            </w:tcBorders>
          </w:tcPr>
          <w:p w14:paraId="6D4A7622" w14:textId="36A4025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95%</w:t>
            </w:r>
          </w:p>
        </w:tc>
        <w:tc>
          <w:tcPr>
            <w:tcW w:w="1350" w:type="dxa"/>
            <w:tcBorders>
              <w:top w:val="nil"/>
              <w:left w:val="nil"/>
            </w:tcBorders>
          </w:tcPr>
          <w:p w14:paraId="5CA2F102" w14:textId="4CFBC45D"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7,129</w:t>
            </w:r>
          </w:p>
        </w:tc>
        <w:tc>
          <w:tcPr>
            <w:tcW w:w="1170" w:type="dxa"/>
            <w:tcBorders>
              <w:top w:val="nil"/>
              <w:left w:val="nil"/>
            </w:tcBorders>
          </w:tcPr>
          <w:p w14:paraId="7204C0E6" w14:textId="71A8F30E"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0.864</w:t>
            </w:r>
          </w:p>
        </w:tc>
        <w:tc>
          <w:tcPr>
            <w:tcW w:w="1162" w:type="dxa"/>
            <w:tcBorders>
              <w:top w:val="nil"/>
              <w:left w:val="nil"/>
            </w:tcBorders>
          </w:tcPr>
          <w:p w14:paraId="3B693C54" w14:textId="79816707"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6,156</w:t>
            </w:r>
          </w:p>
        </w:tc>
      </w:tr>
      <w:tr w:rsidR="003213AC" w14:paraId="40D7471A"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5420C986" w14:textId="5C95E7A3" w:rsidR="003213AC" w:rsidRDefault="003213AC" w:rsidP="003213AC">
            <w:pPr>
              <w:pStyle w:val="TableLeftText"/>
            </w:pPr>
            <w:r>
              <w:rPr>
                <w:rFonts w:cs="Calibri"/>
                <w:color w:val="4A4D56"/>
              </w:rPr>
              <w:t>Midstream - Food Service</w:t>
            </w:r>
          </w:p>
        </w:tc>
        <w:tc>
          <w:tcPr>
            <w:tcW w:w="1710" w:type="dxa"/>
            <w:tcBorders>
              <w:top w:val="nil"/>
            </w:tcBorders>
          </w:tcPr>
          <w:p w14:paraId="08DFFEC3" w14:textId="35096922"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54,799</w:t>
            </w:r>
          </w:p>
        </w:tc>
        <w:tc>
          <w:tcPr>
            <w:tcW w:w="1620" w:type="dxa"/>
            <w:tcBorders>
              <w:top w:val="nil"/>
              <w:left w:val="nil"/>
            </w:tcBorders>
          </w:tcPr>
          <w:p w14:paraId="143D3398" w14:textId="45130249"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114%</w:t>
            </w:r>
          </w:p>
        </w:tc>
        <w:tc>
          <w:tcPr>
            <w:tcW w:w="1350" w:type="dxa"/>
            <w:tcBorders>
              <w:top w:val="nil"/>
              <w:left w:val="nil"/>
            </w:tcBorders>
          </w:tcPr>
          <w:p w14:paraId="0AF0FCE7" w14:textId="054B888F"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62,568</w:t>
            </w:r>
          </w:p>
        </w:tc>
        <w:tc>
          <w:tcPr>
            <w:tcW w:w="1170" w:type="dxa"/>
            <w:tcBorders>
              <w:top w:val="nil"/>
              <w:left w:val="nil"/>
            </w:tcBorders>
          </w:tcPr>
          <w:p w14:paraId="5A22E39D" w14:textId="3DC287DA"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0.866</w:t>
            </w:r>
          </w:p>
        </w:tc>
        <w:tc>
          <w:tcPr>
            <w:tcW w:w="1162" w:type="dxa"/>
            <w:tcBorders>
              <w:top w:val="nil"/>
              <w:left w:val="nil"/>
            </w:tcBorders>
          </w:tcPr>
          <w:p w14:paraId="0782D2A2" w14:textId="6AE28EFC"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54,170</w:t>
            </w:r>
          </w:p>
        </w:tc>
      </w:tr>
      <w:tr w:rsidR="003213AC" w14:paraId="14652AC0"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1DCF7768" w14:textId="39FEB694" w:rsidR="003213AC" w:rsidRDefault="003213AC" w:rsidP="003213AC">
            <w:pPr>
              <w:pStyle w:val="TableLeftText"/>
            </w:pPr>
            <w:r>
              <w:rPr>
                <w:rFonts w:cs="Calibri"/>
                <w:color w:val="4A4D56"/>
              </w:rPr>
              <w:t xml:space="preserve">Midstream - Lighting </w:t>
            </w:r>
            <w:proofErr w:type="spellStart"/>
            <w:r>
              <w:rPr>
                <w:rFonts w:cs="Calibri"/>
                <w:color w:val="4A4D56"/>
              </w:rPr>
              <w:t>Carryover</w:t>
            </w:r>
            <w:r>
              <w:rPr>
                <w:rFonts w:cs="Calibri"/>
                <w:color w:val="4A4D56"/>
                <w:vertAlign w:val="superscript"/>
              </w:rPr>
              <w:t>a</w:t>
            </w:r>
            <w:proofErr w:type="spellEnd"/>
          </w:p>
        </w:tc>
        <w:tc>
          <w:tcPr>
            <w:tcW w:w="1710" w:type="dxa"/>
            <w:tcBorders>
              <w:top w:val="nil"/>
            </w:tcBorders>
          </w:tcPr>
          <w:p w14:paraId="3B2484C8" w14:textId="625FB0EF"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620" w:type="dxa"/>
            <w:tcBorders>
              <w:top w:val="nil"/>
              <w:left w:val="nil"/>
            </w:tcBorders>
          </w:tcPr>
          <w:p w14:paraId="0306C8BF" w14:textId="0C13BDE2"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350" w:type="dxa"/>
            <w:tcBorders>
              <w:top w:val="nil"/>
              <w:left w:val="nil"/>
            </w:tcBorders>
          </w:tcPr>
          <w:p w14:paraId="365003EE" w14:textId="6C6840A5"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c>
          <w:tcPr>
            <w:tcW w:w="1170" w:type="dxa"/>
            <w:tcBorders>
              <w:top w:val="nil"/>
              <w:left w:val="nil"/>
            </w:tcBorders>
          </w:tcPr>
          <w:p w14:paraId="36B39250" w14:textId="7684E6F6"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N/A</w:t>
            </w:r>
          </w:p>
        </w:tc>
        <w:tc>
          <w:tcPr>
            <w:tcW w:w="1162" w:type="dxa"/>
            <w:tcBorders>
              <w:top w:val="nil"/>
              <w:left w:val="nil"/>
            </w:tcBorders>
          </w:tcPr>
          <w:p w14:paraId="2200D12B" w14:textId="639D504B" w:rsidR="003213AC" w:rsidRPr="00987F21" w:rsidRDefault="003213AC" w:rsidP="003213AC">
            <w:pPr>
              <w:pStyle w:val="TableCenterText"/>
              <w:jc w:val="right"/>
              <w:cnfStyle w:val="000000010000" w:firstRow="0" w:lastRow="0" w:firstColumn="0" w:lastColumn="0" w:oddVBand="0" w:evenVBand="0" w:oddHBand="0" w:evenHBand="1" w:firstRowFirstColumn="0" w:firstRowLastColumn="0" w:lastRowFirstColumn="0" w:lastRowLastColumn="0"/>
            </w:pPr>
            <w:r>
              <w:rPr>
                <w:rFonts w:cs="Calibri"/>
                <w:color w:val="4A4D56"/>
              </w:rPr>
              <w:t>0</w:t>
            </w:r>
          </w:p>
        </w:tc>
      </w:tr>
      <w:tr w:rsidR="003213AC" w14:paraId="3B759C29" w14:textId="77777777" w:rsidTr="00C0033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0825D036" w14:textId="0A5C304F" w:rsidR="003213AC" w:rsidRPr="00832451" w:rsidRDefault="003213AC" w:rsidP="003213AC">
            <w:pPr>
              <w:pStyle w:val="TableLeftText"/>
              <w:rPr>
                <w:vertAlign w:val="superscript"/>
              </w:rPr>
            </w:pPr>
            <w:r>
              <w:rPr>
                <w:rFonts w:cs="Calibri"/>
                <w:color w:val="4A4D56"/>
              </w:rPr>
              <w:t>LLLC Pilot</w:t>
            </w:r>
          </w:p>
        </w:tc>
        <w:tc>
          <w:tcPr>
            <w:tcW w:w="1710" w:type="dxa"/>
            <w:tcBorders>
              <w:top w:val="nil"/>
            </w:tcBorders>
          </w:tcPr>
          <w:p w14:paraId="2DB14D88" w14:textId="0364C58A"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620" w:type="dxa"/>
            <w:tcBorders>
              <w:top w:val="nil"/>
              <w:left w:val="nil"/>
            </w:tcBorders>
          </w:tcPr>
          <w:p w14:paraId="05F830CD" w14:textId="4BFAF4C8"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350" w:type="dxa"/>
            <w:tcBorders>
              <w:top w:val="nil"/>
              <w:left w:val="nil"/>
            </w:tcBorders>
          </w:tcPr>
          <w:p w14:paraId="1D74EC83" w14:textId="758D7897"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c>
          <w:tcPr>
            <w:tcW w:w="1170" w:type="dxa"/>
            <w:tcBorders>
              <w:top w:val="nil"/>
              <w:left w:val="nil"/>
            </w:tcBorders>
          </w:tcPr>
          <w:p w14:paraId="29A20E5F" w14:textId="4F583430"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N/A</w:t>
            </w:r>
          </w:p>
        </w:tc>
        <w:tc>
          <w:tcPr>
            <w:tcW w:w="1162" w:type="dxa"/>
            <w:tcBorders>
              <w:top w:val="nil"/>
              <w:left w:val="nil"/>
            </w:tcBorders>
          </w:tcPr>
          <w:p w14:paraId="490E0F81" w14:textId="05D6EEAE" w:rsidR="003213AC" w:rsidRPr="00987F21" w:rsidRDefault="003213AC" w:rsidP="003213AC">
            <w:pPr>
              <w:pStyle w:val="TableCenterText"/>
              <w:jc w:val="right"/>
              <w:cnfStyle w:val="000000100000" w:firstRow="0" w:lastRow="0" w:firstColumn="0" w:lastColumn="0" w:oddVBand="0" w:evenVBand="0" w:oddHBand="1" w:evenHBand="0" w:firstRowFirstColumn="0" w:firstRowLastColumn="0" w:lastRowFirstColumn="0" w:lastRowLastColumn="0"/>
            </w:pPr>
            <w:r>
              <w:rPr>
                <w:rFonts w:cs="Calibri"/>
                <w:color w:val="4A4D56"/>
              </w:rPr>
              <w:t>0</w:t>
            </w:r>
          </w:p>
        </w:tc>
      </w:tr>
      <w:tr w:rsidR="00C0033C" w14:paraId="02F500F1" w14:textId="77777777" w:rsidTr="00C0033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045" w:type="dxa"/>
          </w:tcPr>
          <w:p w14:paraId="29F491A2" w14:textId="1103877F" w:rsidR="00C0033C" w:rsidRPr="00657D8A" w:rsidRDefault="00C0033C" w:rsidP="00C0033C">
            <w:pPr>
              <w:pStyle w:val="TableLeftText"/>
              <w:rPr>
                <w:rFonts w:ascii="Franklin Gothic Medium" w:hAnsi="Franklin Gothic Medium"/>
              </w:rPr>
            </w:pPr>
            <w:r>
              <w:rPr>
                <w:rFonts w:ascii="Franklin Gothic Medium" w:hAnsi="Franklin Gothic Medium" w:cs="Calibri"/>
                <w:color w:val="4A4D56"/>
              </w:rPr>
              <w:t>Business Program Total</w:t>
            </w:r>
          </w:p>
        </w:tc>
        <w:tc>
          <w:tcPr>
            <w:tcW w:w="1710" w:type="dxa"/>
            <w:tcBorders>
              <w:top w:val="nil"/>
            </w:tcBorders>
          </w:tcPr>
          <w:p w14:paraId="2683CB4B" w14:textId="4F71DE5D"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3,214,092</w:t>
            </w:r>
          </w:p>
        </w:tc>
        <w:tc>
          <w:tcPr>
            <w:tcW w:w="1620" w:type="dxa"/>
            <w:tcBorders>
              <w:top w:val="nil"/>
              <w:left w:val="nil"/>
            </w:tcBorders>
          </w:tcPr>
          <w:p w14:paraId="291AD51D" w14:textId="5E6C7DB6"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114%</w:t>
            </w:r>
          </w:p>
        </w:tc>
        <w:tc>
          <w:tcPr>
            <w:tcW w:w="1350" w:type="dxa"/>
            <w:tcBorders>
              <w:top w:val="nil"/>
              <w:left w:val="nil"/>
            </w:tcBorders>
          </w:tcPr>
          <w:p w14:paraId="056E7D59" w14:textId="031F867D"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3,663,091</w:t>
            </w:r>
          </w:p>
        </w:tc>
        <w:tc>
          <w:tcPr>
            <w:tcW w:w="1170" w:type="dxa"/>
            <w:tcBorders>
              <w:top w:val="nil"/>
              <w:left w:val="nil"/>
            </w:tcBorders>
          </w:tcPr>
          <w:p w14:paraId="7ACB8191" w14:textId="6B7714F1"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0.789</w:t>
            </w:r>
          </w:p>
        </w:tc>
        <w:tc>
          <w:tcPr>
            <w:tcW w:w="1162" w:type="dxa"/>
            <w:tcBorders>
              <w:top w:val="nil"/>
              <w:left w:val="nil"/>
            </w:tcBorders>
          </w:tcPr>
          <w:p w14:paraId="6C368764" w14:textId="526B4FD9" w:rsidR="00C0033C" w:rsidRPr="00657D8A" w:rsidRDefault="00C0033C" w:rsidP="00C0033C">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s="Calibri"/>
                <w:color w:val="4A4D56"/>
              </w:rPr>
              <w:t>2,888,619</w:t>
            </w:r>
          </w:p>
        </w:tc>
      </w:tr>
    </w:tbl>
    <w:p w14:paraId="1E42C190" w14:textId="26C55D30" w:rsidR="005C27B9" w:rsidRDefault="005C27B9" w:rsidP="005C27B9">
      <w:pPr>
        <w:pStyle w:val="Heading2"/>
      </w:pPr>
      <w:bookmarkStart w:id="71" w:name="_Toc165365705"/>
      <w:bookmarkStart w:id="72" w:name="_Toc192774868"/>
      <w:r>
        <w:t>2024 Voltage Optimization Program Annual Savings</w:t>
      </w:r>
      <w:bookmarkEnd w:id="71"/>
      <w:bookmarkEnd w:id="72"/>
    </w:p>
    <w:p w14:paraId="0208622B" w14:textId="21CEE1E3" w:rsidR="005C27B9" w:rsidRDefault="005C27B9" w:rsidP="005C27B9">
      <w:pPr>
        <w:keepNext/>
        <w:keepLines/>
      </w:pPr>
      <w:r>
        <w:t xml:space="preserve">The 2024 Voltage Optimization Program achieved 77,169 MWh and 13.66 MW in verified net savings. </w:t>
      </w:r>
      <w:r>
        <w:fldChar w:fldCharType="begin"/>
      </w:r>
      <w:r>
        <w:instrText xml:space="preserve"> REF _Ref161233214 \h </w:instrText>
      </w:r>
      <w:r>
        <w:fldChar w:fldCharType="separate"/>
      </w:r>
      <w:r w:rsidR="00F8548D">
        <w:t xml:space="preserve">Table </w:t>
      </w:r>
      <w:r w:rsidR="00F8548D">
        <w:rPr>
          <w:noProof/>
        </w:rPr>
        <w:t>13</w:t>
      </w:r>
      <w:r>
        <w:fldChar w:fldCharType="end"/>
      </w:r>
      <w:r>
        <w:t xml:space="preserve"> presents </w:t>
      </w:r>
      <w:proofErr w:type="gramStart"/>
      <w:r>
        <w:t>ex ante</w:t>
      </w:r>
      <w:proofErr w:type="gramEnd"/>
      <w:r>
        <w:t xml:space="preserve"> gross, verified gross, and verified net savings for the 2024 Voltage Optimization Program.</w:t>
      </w:r>
    </w:p>
    <w:p w14:paraId="16AACF95" w14:textId="5A1A06A2" w:rsidR="005C27B9" w:rsidRDefault="005C27B9" w:rsidP="005C27B9">
      <w:pPr>
        <w:pStyle w:val="Caption"/>
      </w:pPr>
      <w:bookmarkStart w:id="73" w:name="_Ref161233214"/>
      <w:bookmarkStart w:id="74" w:name="_Toc192774887"/>
      <w:r>
        <w:t xml:space="preserve">Table </w:t>
      </w:r>
      <w:r>
        <w:fldChar w:fldCharType="begin"/>
      </w:r>
      <w:r>
        <w:instrText xml:space="preserve"> SEQ Table \* ARABIC </w:instrText>
      </w:r>
      <w:r>
        <w:fldChar w:fldCharType="separate"/>
      </w:r>
      <w:r w:rsidR="00F8548D">
        <w:rPr>
          <w:noProof/>
        </w:rPr>
        <w:t>13</w:t>
      </w:r>
      <w:r>
        <w:rPr>
          <w:noProof/>
        </w:rPr>
        <w:fldChar w:fldCharType="end"/>
      </w:r>
      <w:bookmarkEnd w:id="73"/>
      <w:r>
        <w:t>.</w:t>
      </w:r>
      <w:r w:rsidRPr="000564FC">
        <w:t xml:space="preserve"> 202</w:t>
      </w:r>
      <w:r>
        <w:t>4</w:t>
      </w:r>
      <w:r w:rsidRPr="000564FC">
        <w:t xml:space="preserve"> Voltage Optimization Program Annual Savings Summary</w:t>
      </w:r>
      <w:bookmarkEnd w:id="74"/>
    </w:p>
    <w:tbl>
      <w:tblPr>
        <w:tblStyle w:val="ODCBasic-1"/>
        <w:tblW w:w="5000" w:type="pct"/>
        <w:tblCellMar>
          <w:top w:w="0" w:type="dxa"/>
          <w:bottom w:w="14" w:type="dxa"/>
        </w:tblCellMar>
        <w:tblLook w:val="04A0" w:firstRow="1" w:lastRow="0" w:firstColumn="1" w:lastColumn="0" w:noHBand="0" w:noVBand="1"/>
      </w:tblPr>
      <w:tblGrid>
        <w:gridCol w:w="2649"/>
        <w:gridCol w:w="2612"/>
        <w:gridCol w:w="3296"/>
        <w:gridCol w:w="2539"/>
      </w:tblGrid>
      <w:tr w:rsidR="005C27B9" w14:paraId="2628E8D1" w14:textId="77777777" w:rsidTr="005C27B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194" w:type="pct"/>
            <w:tcBorders>
              <w:bottom w:val="single" w:sz="4" w:space="0" w:color="4A4D56" w:themeColor="text1"/>
              <w:right w:val="single" w:sz="4" w:space="0" w:color="4A4D56" w:themeColor="text1"/>
            </w:tcBorders>
          </w:tcPr>
          <w:p w14:paraId="31EA574E" w14:textId="77777777" w:rsidR="005C27B9" w:rsidRPr="00625570" w:rsidRDefault="005C27B9" w:rsidP="002C7F49">
            <w:pPr>
              <w:pStyle w:val="TableHeadingLeft"/>
            </w:pPr>
          </w:p>
        </w:tc>
        <w:tc>
          <w:tcPr>
            <w:tcW w:w="1177" w:type="pct"/>
            <w:tcBorders>
              <w:left w:val="single" w:sz="4" w:space="0" w:color="4A4D56" w:themeColor="text1"/>
              <w:bottom w:val="single" w:sz="4" w:space="0" w:color="4A4D56" w:themeColor="text1"/>
              <w:right w:val="single" w:sz="4" w:space="0" w:color="4A4D56" w:themeColor="text1"/>
            </w:tcBorders>
          </w:tcPr>
          <w:p w14:paraId="06242375"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C14E30">
              <w:t>Energy Savings (MWh)</w:t>
            </w:r>
          </w:p>
        </w:tc>
        <w:tc>
          <w:tcPr>
            <w:tcW w:w="1485" w:type="pct"/>
            <w:tcBorders>
              <w:left w:val="single" w:sz="4" w:space="0" w:color="4A4D56" w:themeColor="text1"/>
              <w:bottom w:val="single" w:sz="4" w:space="0" w:color="4A4D56" w:themeColor="text1"/>
              <w:right w:val="single" w:sz="4" w:space="0" w:color="4A4D56" w:themeColor="text1"/>
            </w:tcBorders>
          </w:tcPr>
          <w:p w14:paraId="3370E3FF"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C14E30">
              <w:t>Peak Demand Savings (MW)</w:t>
            </w:r>
          </w:p>
        </w:tc>
        <w:tc>
          <w:tcPr>
            <w:tcW w:w="1145" w:type="pct"/>
            <w:tcBorders>
              <w:left w:val="single" w:sz="4" w:space="0" w:color="4A4D56" w:themeColor="text1"/>
              <w:bottom w:val="single" w:sz="4" w:space="0" w:color="4A4D56" w:themeColor="text1"/>
              <w:right w:val="single" w:sz="4" w:space="0" w:color="4A4D56" w:themeColor="text1"/>
            </w:tcBorders>
          </w:tcPr>
          <w:p w14:paraId="0CE772B9"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rsidRPr="00C14E30">
              <w:t>Gas Savings (</w:t>
            </w:r>
            <w:proofErr w:type="spellStart"/>
            <w:r w:rsidRPr="00C14E30">
              <w:t>Therms</w:t>
            </w:r>
            <w:proofErr w:type="spellEnd"/>
            <w:r w:rsidRPr="00C14E30">
              <w:t>)</w:t>
            </w:r>
          </w:p>
        </w:tc>
      </w:tr>
      <w:tr w:rsidR="005C27B9" w14:paraId="7970785F" w14:textId="77777777" w:rsidTr="005C27B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94" w:type="pct"/>
            <w:tcBorders>
              <w:top w:val="single" w:sz="4" w:space="0" w:color="4A4D56" w:themeColor="text1"/>
            </w:tcBorders>
          </w:tcPr>
          <w:p w14:paraId="0A7869F4" w14:textId="77777777" w:rsidR="005C27B9" w:rsidRPr="00625570" w:rsidRDefault="005C27B9" w:rsidP="005C27B9">
            <w:pPr>
              <w:pStyle w:val="TableLeftText"/>
            </w:pPr>
            <w:r w:rsidRPr="00C14E30">
              <w:t xml:space="preserve">Ex Ante Gross </w:t>
            </w:r>
            <w:proofErr w:type="spellStart"/>
            <w:r w:rsidRPr="00C14E30">
              <w:t>Savings</w:t>
            </w:r>
            <w:r>
              <w:rPr>
                <w:vertAlign w:val="superscript"/>
              </w:rPr>
              <w:t>a</w:t>
            </w:r>
            <w:proofErr w:type="spellEnd"/>
          </w:p>
        </w:tc>
        <w:tc>
          <w:tcPr>
            <w:tcW w:w="1177" w:type="pct"/>
            <w:tcBorders>
              <w:top w:val="single" w:sz="4" w:space="0" w:color="4A4D56" w:themeColor="text1"/>
            </w:tcBorders>
          </w:tcPr>
          <w:p w14:paraId="488568D1" w14:textId="13231533"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t>70,743</w:t>
            </w:r>
          </w:p>
        </w:tc>
        <w:tc>
          <w:tcPr>
            <w:tcW w:w="1485" w:type="pct"/>
            <w:tcBorders>
              <w:top w:val="single" w:sz="4" w:space="0" w:color="4A4D56" w:themeColor="text1"/>
            </w:tcBorders>
          </w:tcPr>
          <w:p w14:paraId="4112F616" w14:textId="0E53EFA0" w:rsidR="005C27B9" w:rsidRPr="000564FC" w:rsidRDefault="005C27B9" w:rsidP="005C27B9">
            <w:pPr>
              <w:pStyle w:val="TableCenterText"/>
              <w:cnfStyle w:val="000000100000" w:firstRow="0" w:lastRow="0" w:firstColumn="0" w:lastColumn="0" w:oddVBand="0" w:evenVBand="0" w:oddHBand="1" w:evenHBand="0" w:firstRowFirstColumn="0" w:firstRowLastColumn="0" w:lastRowFirstColumn="0" w:lastRowLastColumn="0"/>
              <w:rPr>
                <w:vertAlign w:val="superscript"/>
              </w:rPr>
            </w:pPr>
            <w:r w:rsidRPr="001306DF">
              <w:t>N/A</w:t>
            </w:r>
          </w:p>
        </w:tc>
        <w:tc>
          <w:tcPr>
            <w:tcW w:w="1145" w:type="pct"/>
            <w:tcBorders>
              <w:top w:val="single" w:sz="4" w:space="0" w:color="4A4D56" w:themeColor="text1"/>
            </w:tcBorders>
          </w:tcPr>
          <w:p w14:paraId="0F7793DF" w14:textId="72479C90"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rsidRPr="001306DF">
              <w:t>N/A</w:t>
            </w:r>
          </w:p>
        </w:tc>
      </w:tr>
      <w:tr w:rsidR="005C27B9" w14:paraId="58305331" w14:textId="77777777" w:rsidTr="005C27B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94" w:type="pct"/>
          </w:tcPr>
          <w:p w14:paraId="6AC6D4B6" w14:textId="77777777" w:rsidR="005C27B9" w:rsidRPr="00625570" w:rsidRDefault="005C27B9" w:rsidP="005C27B9">
            <w:pPr>
              <w:pStyle w:val="TableLeftText"/>
            </w:pPr>
            <w:r w:rsidRPr="00C14E30">
              <w:t>Gross Realization Rate</w:t>
            </w:r>
          </w:p>
        </w:tc>
        <w:tc>
          <w:tcPr>
            <w:tcW w:w="1177" w:type="pct"/>
          </w:tcPr>
          <w:p w14:paraId="68DB423A" w14:textId="11FFFCE1"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t>109%</w:t>
            </w:r>
          </w:p>
        </w:tc>
        <w:tc>
          <w:tcPr>
            <w:tcW w:w="1485" w:type="pct"/>
          </w:tcPr>
          <w:p w14:paraId="3E888B81" w14:textId="0418D0EC"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rsidRPr="001306DF">
              <w:t>N/A</w:t>
            </w:r>
          </w:p>
        </w:tc>
        <w:tc>
          <w:tcPr>
            <w:tcW w:w="1145" w:type="pct"/>
          </w:tcPr>
          <w:p w14:paraId="175CA4F0" w14:textId="54E06006"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rsidRPr="001306DF">
              <w:t>N/A</w:t>
            </w:r>
          </w:p>
        </w:tc>
      </w:tr>
      <w:tr w:rsidR="005C27B9" w14:paraId="2F0A6CC1" w14:textId="77777777" w:rsidTr="005C27B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94" w:type="pct"/>
          </w:tcPr>
          <w:p w14:paraId="50F46DFE" w14:textId="77777777" w:rsidR="005C27B9" w:rsidRPr="00625570" w:rsidRDefault="005C27B9" w:rsidP="005C27B9">
            <w:pPr>
              <w:pStyle w:val="TableLeftText"/>
            </w:pPr>
            <w:r w:rsidRPr="00C14E30">
              <w:t>Verified Gross Savings</w:t>
            </w:r>
          </w:p>
        </w:tc>
        <w:tc>
          <w:tcPr>
            <w:tcW w:w="1177" w:type="pct"/>
          </w:tcPr>
          <w:p w14:paraId="4C2C9864" w14:textId="66B1394D"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t>77,169</w:t>
            </w:r>
          </w:p>
        </w:tc>
        <w:tc>
          <w:tcPr>
            <w:tcW w:w="1485" w:type="pct"/>
          </w:tcPr>
          <w:p w14:paraId="65DF1C7A" w14:textId="1621D99E"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t>13.66</w:t>
            </w:r>
          </w:p>
        </w:tc>
        <w:tc>
          <w:tcPr>
            <w:tcW w:w="1145" w:type="pct"/>
          </w:tcPr>
          <w:p w14:paraId="3B546098" w14:textId="251CA524"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rsidRPr="001306DF">
              <w:t>N/A</w:t>
            </w:r>
          </w:p>
        </w:tc>
      </w:tr>
      <w:tr w:rsidR="005C27B9" w14:paraId="03CDA040" w14:textId="77777777" w:rsidTr="005C27B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94" w:type="pct"/>
          </w:tcPr>
          <w:p w14:paraId="3DFAF12B" w14:textId="77777777" w:rsidR="005C27B9" w:rsidRPr="00625570" w:rsidRDefault="005C27B9" w:rsidP="005C27B9">
            <w:pPr>
              <w:pStyle w:val="TableLeftText"/>
            </w:pPr>
            <w:r w:rsidRPr="00C14E30">
              <w:t>NTGR</w:t>
            </w:r>
          </w:p>
        </w:tc>
        <w:tc>
          <w:tcPr>
            <w:tcW w:w="1177" w:type="pct"/>
          </w:tcPr>
          <w:p w14:paraId="5F02DC48" w14:textId="06622971"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t>N/A</w:t>
            </w:r>
          </w:p>
        </w:tc>
        <w:tc>
          <w:tcPr>
            <w:tcW w:w="1485" w:type="pct"/>
          </w:tcPr>
          <w:p w14:paraId="0BC991F2" w14:textId="6B84CC04"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rsidRPr="001306DF">
              <w:t>N/A</w:t>
            </w:r>
          </w:p>
        </w:tc>
        <w:tc>
          <w:tcPr>
            <w:tcW w:w="1145" w:type="pct"/>
          </w:tcPr>
          <w:p w14:paraId="4EF0B7F2" w14:textId="1CD8095A" w:rsidR="005C27B9" w:rsidRPr="000B7901" w:rsidRDefault="005C27B9" w:rsidP="005C27B9">
            <w:pPr>
              <w:pStyle w:val="TableCenterText"/>
              <w:cnfStyle w:val="000000010000" w:firstRow="0" w:lastRow="0" w:firstColumn="0" w:lastColumn="0" w:oddVBand="0" w:evenVBand="0" w:oddHBand="0" w:evenHBand="1" w:firstRowFirstColumn="0" w:firstRowLastColumn="0" w:lastRowFirstColumn="0" w:lastRowLastColumn="0"/>
            </w:pPr>
            <w:r w:rsidRPr="001306DF">
              <w:t>N/A</w:t>
            </w:r>
          </w:p>
        </w:tc>
      </w:tr>
      <w:tr w:rsidR="005C27B9" w14:paraId="7E75967D" w14:textId="77777777" w:rsidTr="005C27B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94" w:type="pct"/>
          </w:tcPr>
          <w:p w14:paraId="028968DB" w14:textId="77777777" w:rsidR="005C27B9" w:rsidRPr="00625570" w:rsidRDefault="005C27B9" w:rsidP="005C27B9">
            <w:pPr>
              <w:pStyle w:val="TableLeftText"/>
            </w:pPr>
            <w:r w:rsidRPr="00C14E30">
              <w:t xml:space="preserve">Verified Net Savings </w:t>
            </w:r>
          </w:p>
        </w:tc>
        <w:tc>
          <w:tcPr>
            <w:tcW w:w="1177" w:type="pct"/>
          </w:tcPr>
          <w:p w14:paraId="6C885679" w14:textId="32AA42C5"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t>77,169</w:t>
            </w:r>
          </w:p>
        </w:tc>
        <w:tc>
          <w:tcPr>
            <w:tcW w:w="1485" w:type="pct"/>
          </w:tcPr>
          <w:p w14:paraId="456A53A6" w14:textId="78C401D3"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t>13.66</w:t>
            </w:r>
          </w:p>
        </w:tc>
        <w:tc>
          <w:tcPr>
            <w:tcW w:w="1145" w:type="pct"/>
          </w:tcPr>
          <w:p w14:paraId="1B17E33F" w14:textId="5FA9B008" w:rsidR="005C27B9" w:rsidRPr="000B7901" w:rsidRDefault="005C27B9" w:rsidP="005C27B9">
            <w:pPr>
              <w:pStyle w:val="TableCenterText"/>
              <w:cnfStyle w:val="000000100000" w:firstRow="0" w:lastRow="0" w:firstColumn="0" w:lastColumn="0" w:oddVBand="0" w:evenVBand="0" w:oddHBand="1" w:evenHBand="0" w:firstRowFirstColumn="0" w:firstRowLastColumn="0" w:lastRowFirstColumn="0" w:lastRowLastColumn="0"/>
            </w:pPr>
            <w:r w:rsidRPr="001306DF">
              <w:t>N/A</w:t>
            </w:r>
          </w:p>
        </w:tc>
      </w:tr>
    </w:tbl>
    <w:p w14:paraId="001B38DE" w14:textId="51191BCD" w:rsidR="005C27B9" w:rsidRDefault="005C27B9" w:rsidP="005C27B9">
      <w:pPr>
        <w:spacing w:after="0"/>
        <w:rPr>
          <w:sz w:val="18"/>
          <w:szCs w:val="18"/>
        </w:rPr>
      </w:pPr>
      <w:proofErr w:type="gramStart"/>
      <w:r w:rsidRPr="001F1D4D">
        <w:rPr>
          <w:sz w:val="18"/>
          <w:szCs w:val="18"/>
          <w:vertAlign w:val="superscript"/>
        </w:rPr>
        <w:t>a</w:t>
      </w:r>
      <w:proofErr w:type="gramEnd"/>
      <w:r>
        <w:rPr>
          <w:sz w:val="18"/>
          <w:szCs w:val="18"/>
          <w:vertAlign w:val="superscript"/>
        </w:rPr>
        <w:t xml:space="preserve"> </w:t>
      </w:r>
      <w:r w:rsidRPr="007677BC">
        <w:rPr>
          <w:sz w:val="18"/>
          <w:szCs w:val="18"/>
        </w:rPr>
        <w:t xml:space="preserve">Ex ante </w:t>
      </w:r>
      <w:r>
        <w:rPr>
          <w:sz w:val="18"/>
          <w:szCs w:val="18"/>
        </w:rPr>
        <w:t>energy</w:t>
      </w:r>
      <w:r w:rsidRPr="007677BC">
        <w:rPr>
          <w:sz w:val="18"/>
          <w:szCs w:val="18"/>
        </w:rPr>
        <w:t xml:space="preserve"> savings sourced from AIC. </w:t>
      </w:r>
      <w:proofErr w:type="gramStart"/>
      <w:r w:rsidRPr="007677BC">
        <w:rPr>
          <w:sz w:val="18"/>
          <w:szCs w:val="18"/>
        </w:rPr>
        <w:t>Ex ante</w:t>
      </w:r>
      <w:proofErr w:type="gramEnd"/>
      <w:r w:rsidRPr="007677BC">
        <w:rPr>
          <w:sz w:val="18"/>
          <w:szCs w:val="18"/>
        </w:rPr>
        <w:t xml:space="preserve"> gross savings assume 0.80 CVR factor and 3.2% voltage reduction across the </w:t>
      </w:r>
      <w:r>
        <w:rPr>
          <w:sz w:val="18"/>
          <w:szCs w:val="18"/>
        </w:rPr>
        <w:t>214</w:t>
      </w:r>
      <w:r w:rsidRPr="007677BC">
        <w:rPr>
          <w:sz w:val="18"/>
          <w:szCs w:val="18"/>
        </w:rPr>
        <w:t xml:space="preserve"> measured circuits.</w:t>
      </w:r>
      <w:r>
        <w:rPr>
          <w:sz w:val="18"/>
          <w:szCs w:val="18"/>
        </w:rPr>
        <w:t xml:space="preserve"> </w:t>
      </w:r>
    </w:p>
    <w:p w14:paraId="2F614F14" w14:textId="77777777" w:rsidR="005C27B9" w:rsidRDefault="005C27B9" w:rsidP="005C27B9">
      <w:pPr>
        <w:spacing w:after="0"/>
        <w:rPr>
          <w:sz w:val="18"/>
          <w:szCs w:val="18"/>
        </w:rPr>
      </w:pPr>
      <w:r>
        <w:rPr>
          <w:sz w:val="18"/>
          <w:szCs w:val="18"/>
          <w:vertAlign w:val="superscript"/>
        </w:rPr>
        <w:t xml:space="preserve">b </w:t>
      </w:r>
      <w:r w:rsidRPr="007677BC">
        <w:rPr>
          <w:sz w:val="18"/>
          <w:szCs w:val="18"/>
        </w:rPr>
        <w:t xml:space="preserve">There are no </w:t>
      </w:r>
      <w:proofErr w:type="gramStart"/>
      <w:r w:rsidRPr="007677BC">
        <w:rPr>
          <w:sz w:val="18"/>
          <w:szCs w:val="18"/>
        </w:rPr>
        <w:t>ex ante</w:t>
      </w:r>
      <w:proofErr w:type="gramEnd"/>
      <w:r w:rsidRPr="007677BC">
        <w:rPr>
          <w:sz w:val="18"/>
          <w:szCs w:val="18"/>
        </w:rPr>
        <w:t xml:space="preserve"> </w:t>
      </w:r>
      <w:r>
        <w:rPr>
          <w:sz w:val="18"/>
          <w:szCs w:val="18"/>
        </w:rPr>
        <w:t xml:space="preserve">peak </w:t>
      </w:r>
      <w:r w:rsidRPr="007677BC">
        <w:rPr>
          <w:sz w:val="18"/>
          <w:szCs w:val="18"/>
        </w:rPr>
        <w:t>demand savings estimates for this program.</w:t>
      </w:r>
    </w:p>
    <w:p w14:paraId="015B8520" w14:textId="77777777" w:rsidR="00C0033C" w:rsidRDefault="00C0033C" w:rsidP="00C0033C">
      <w:pPr>
        <w:pStyle w:val="Heading2"/>
      </w:pPr>
      <w:bookmarkStart w:id="75" w:name="_Ref161302279"/>
      <w:bookmarkStart w:id="76" w:name="_Toc165365702"/>
      <w:bookmarkStart w:id="77" w:name="_Toc192774869"/>
      <w:r>
        <w:t>Savings Conversions</w:t>
      </w:r>
      <w:bookmarkEnd w:id="75"/>
      <w:bookmarkEnd w:id="76"/>
      <w:bookmarkEnd w:id="77"/>
    </w:p>
    <w:p w14:paraId="2F0ED6B2" w14:textId="7EE4E208" w:rsidR="00C0033C" w:rsidRDefault="00C0033C" w:rsidP="00C0033C">
      <w:r>
        <w:t xml:space="preserve">In certain circumstances, Illinois state law </w:t>
      </w:r>
      <w:r w:rsidR="00F97FEE">
        <w:t xml:space="preserve">and the </w:t>
      </w:r>
      <w:r w:rsidR="00F97FEE" w:rsidRPr="00E7018D">
        <w:t>Illinois Energy Efficiency Policy Manual</w:t>
      </w:r>
      <w:r w:rsidR="00F97FEE">
        <w:t xml:space="preserve"> </w:t>
      </w:r>
      <w:r>
        <w:t>allow electric utilities to claim energy savings achieved from fossil fuels against their AAIG and CPAS goals. Th</w:t>
      </w:r>
      <w:r w:rsidR="000512F3">
        <w:t xml:space="preserve">is section </w:t>
      </w:r>
      <w:r w:rsidR="00F97FEE">
        <w:t>details</w:t>
      </w:r>
      <w:r w:rsidR="000512F3">
        <w:t xml:space="preserve"> </w:t>
      </w:r>
      <w:r w:rsidR="00F97FEE">
        <w:t>the</w:t>
      </w:r>
      <w:r w:rsidR="000512F3">
        <w:t xml:space="preserve"> mechanisms</w:t>
      </w:r>
      <w:r w:rsidR="00F97FEE">
        <w:t xml:space="preserve"> (referred to as “conversions”)</w:t>
      </w:r>
      <w:r w:rsidR="000512F3">
        <w:t xml:space="preserve"> through which</w:t>
      </w:r>
      <w:r>
        <w:t xml:space="preserve"> Illinois electric utilities may</w:t>
      </w:r>
      <w:r w:rsidR="000512F3">
        <w:t xml:space="preserve"> claim </w:t>
      </w:r>
      <w:r w:rsidR="00F97FEE">
        <w:t xml:space="preserve">these </w:t>
      </w:r>
      <w:r w:rsidR="000512F3">
        <w:t>savings toward their goals and presents the results of AIC’s 2024 use of these mechanisms.</w:t>
      </w:r>
    </w:p>
    <w:p w14:paraId="356E6A23" w14:textId="0515B7EE" w:rsidR="00C0033C" w:rsidRDefault="00F97FEE" w:rsidP="00C0033C">
      <w:pPr>
        <w:pStyle w:val="Heading3"/>
      </w:pPr>
      <w:bookmarkStart w:id="78" w:name="_Ref161300479"/>
      <w:r>
        <w:t xml:space="preserve">Subsection </w:t>
      </w:r>
      <w:r w:rsidR="00C0033C">
        <w:t>(b-25) Conversions</w:t>
      </w:r>
      <w:bookmarkEnd w:id="78"/>
    </w:p>
    <w:p w14:paraId="28B87024" w14:textId="3936FE5F" w:rsidR="00F97FEE" w:rsidRPr="00F97FEE" w:rsidRDefault="00F97FEE" w:rsidP="00F97FEE">
      <w:pPr>
        <w:pStyle w:val="Heading4"/>
      </w:pPr>
      <w:r>
        <w:t>Background</w:t>
      </w:r>
    </w:p>
    <w:p w14:paraId="7985B936" w14:textId="5ACABAC2" w:rsidR="000512F3" w:rsidRDefault="000512F3" w:rsidP="000512F3">
      <w:r w:rsidRPr="000512F3">
        <w:t xml:space="preserve">Subsection (b-25) of </w:t>
      </w:r>
      <w:r>
        <w:t xml:space="preserve">Section </w:t>
      </w:r>
      <w:r w:rsidRPr="000512F3">
        <w:t>8-103B</w:t>
      </w:r>
      <w:r w:rsidRPr="000512F3">
        <w:rPr>
          <w:rStyle w:val="FootnoteReference"/>
        </w:rPr>
        <w:footnoteReference w:id="16"/>
      </w:r>
      <w:r w:rsidRPr="000512F3">
        <w:t xml:space="preserve"> </w:t>
      </w:r>
      <w:r>
        <w:t xml:space="preserve">allows Illinois electric utilities to convert fossil fuel savings achieved through energy efficiency programs funded with electric dollars to electric energy savings on an equivalent British thermal unit (Btu) basis for the premises in certain situations. There is an annual cap on (b-25) conversions; no more than 10% of the electric utility’s applicable annual total savings requirement (AATS) may be met via (b-25) conversions each year. </w:t>
      </w:r>
      <w:r>
        <w:lastRenderedPageBreak/>
        <w:t>For AIC, these conversions can include natural gas provided by AIC (savings of which could also be counted toward AIC’s 8-104 goals) and natural gas not provided by AIC or delivered fuels such as propane (savings of which could not be counted toward AIC’s 8-104 goals).</w:t>
      </w:r>
    </w:p>
    <w:p w14:paraId="7DE65D06" w14:textId="444D313B" w:rsidR="00F97FEE" w:rsidRDefault="00F97FEE" w:rsidP="00F97FEE">
      <w:pPr>
        <w:pStyle w:val="Heading4"/>
      </w:pPr>
      <w:r>
        <w:t>2024 Results</w:t>
      </w:r>
    </w:p>
    <w:p w14:paraId="0C10CBDF" w14:textId="77777777" w:rsidR="000512F3" w:rsidRDefault="00C0033C" w:rsidP="00C0033C">
      <w:r>
        <w:t xml:space="preserve">In 2024, AIC identified savings achieved by </w:t>
      </w:r>
      <w:proofErr w:type="gramStart"/>
      <w:r>
        <w:t>a number of</w:t>
      </w:r>
      <w:proofErr w:type="gramEnd"/>
      <w:r>
        <w:t xml:space="preserve"> initiatives for (b-25) conversions. Per Illinois state law, AIC was capped at a total conversion of no more than 42,428 MWh. Using the SAG-approved conversion factor of 29.3 kWh per </w:t>
      </w:r>
      <w:proofErr w:type="spellStart"/>
      <w:r>
        <w:t>therm</w:t>
      </w:r>
      <w:proofErr w:type="spellEnd"/>
      <w:r>
        <w:t xml:space="preserve">, this equals 1,448,068 </w:t>
      </w:r>
      <w:proofErr w:type="spellStart"/>
      <w:r>
        <w:t>therms</w:t>
      </w:r>
      <w:proofErr w:type="spellEnd"/>
      <w:r>
        <w:t xml:space="preserve"> that could be converted to electric savings. </w:t>
      </w:r>
    </w:p>
    <w:p w14:paraId="67EAA08C" w14:textId="7895F358" w:rsidR="00C0033C" w:rsidRDefault="000512F3" w:rsidP="00C0033C">
      <w:r>
        <w:t xml:space="preserve">In 2024, AIC provided us with tracking data that identified savings for conversions. </w:t>
      </w:r>
      <w:r w:rsidR="00C0033C">
        <w:t xml:space="preserve">After evaluation, we determined that savings identified for conversion by AIC were </w:t>
      </w:r>
      <w:proofErr w:type="gramStart"/>
      <w:r w:rsidR="00C0033C">
        <w:t>in excess of</w:t>
      </w:r>
      <w:proofErr w:type="gramEnd"/>
      <w:r w:rsidR="00C0033C">
        <w:t xml:space="preserve"> the conversion cap, and therefore we prioritized savings for conversion in line with legislation and AIC guidance. </w:t>
      </w:r>
      <w:r w:rsidR="00C0033C">
        <w:fldChar w:fldCharType="begin"/>
      </w:r>
      <w:r w:rsidR="00C0033C">
        <w:instrText xml:space="preserve"> REF _Ref161323235 \h </w:instrText>
      </w:r>
      <w:r w:rsidR="00C0033C">
        <w:fldChar w:fldCharType="separate"/>
      </w:r>
      <w:r w:rsidR="00F8548D">
        <w:t xml:space="preserve">Table </w:t>
      </w:r>
      <w:r w:rsidR="00F8548D">
        <w:rPr>
          <w:noProof/>
        </w:rPr>
        <w:t>14</w:t>
      </w:r>
      <w:r w:rsidR="00C0033C">
        <w:fldChar w:fldCharType="end"/>
      </w:r>
      <w:r w:rsidR="00C0033C">
        <w:t xml:space="preserve"> presents a summary of AIC’s 2024 (b-25) savings conversions.</w:t>
      </w:r>
      <w:r>
        <w:t xml:space="preserve"> </w:t>
      </w:r>
    </w:p>
    <w:p w14:paraId="2F1E00EA" w14:textId="7ACE86BD" w:rsidR="00C0033C" w:rsidRDefault="00C0033C" w:rsidP="00C0033C">
      <w:pPr>
        <w:pStyle w:val="Caption"/>
      </w:pPr>
      <w:bookmarkStart w:id="79" w:name="_Ref161323235"/>
      <w:bookmarkStart w:id="80" w:name="_Toc192774888"/>
      <w:r>
        <w:t xml:space="preserve">Table </w:t>
      </w:r>
      <w:r>
        <w:fldChar w:fldCharType="begin"/>
      </w:r>
      <w:r>
        <w:instrText xml:space="preserve"> SEQ Table \* ARABIC </w:instrText>
      </w:r>
      <w:r>
        <w:fldChar w:fldCharType="separate"/>
      </w:r>
      <w:r w:rsidR="00F8548D">
        <w:rPr>
          <w:noProof/>
        </w:rPr>
        <w:t>14</w:t>
      </w:r>
      <w:r>
        <w:rPr>
          <w:noProof/>
        </w:rPr>
        <w:fldChar w:fldCharType="end"/>
      </w:r>
      <w:bookmarkEnd w:id="79"/>
      <w:r>
        <w:t>. 2024 AIC (b-25) Conversions</w:t>
      </w:r>
      <w:bookmarkEnd w:id="80"/>
    </w:p>
    <w:tbl>
      <w:tblPr>
        <w:tblStyle w:val="ODCBasic-1"/>
        <w:tblW w:w="0" w:type="auto"/>
        <w:tblLayout w:type="fixed"/>
        <w:tblCellMar>
          <w:top w:w="0" w:type="dxa"/>
          <w:bottom w:w="14" w:type="dxa"/>
        </w:tblCellMar>
        <w:tblLook w:val="04A0" w:firstRow="1" w:lastRow="0" w:firstColumn="1" w:lastColumn="0" w:noHBand="0" w:noVBand="1"/>
      </w:tblPr>
      <w:tblGrid>
        <w:gridCol w:w="2425"/>
        <w:gridCol w:w="1890"/>
        <w:gridCol w:w="1685"/>
        <w:gridCol w:w="1915"/>
        <w:gridCol w:w="1620"/>
        <w:gridCol w:w="1522"/>
      </w:tblGrid>
      <w:tr w:rsidR="00C0033C" w14:paraId="4563978E" w14:textId="77777777" w:rsidTr="005964D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425" w:type="dxa"/>
            <w:tcBorders>
              <w:bottom w:val="single" w:sz="4" w:space="0" w:color="4A4D56" w:themeColor="text1"/>
              <w:right w:val="single" w:sz="4" w:space="0" w:color="4A4D56" w:themeColor="text1"/>
            </w:tcBorders>
          </w:tcPr>
          <w:p w14:paraId="2D15D39F" w14:textId="77777777" w:rsidR="00C0033C" w:rsidRPr="00625570" w:rsidRDefault="00C0033C" w:rsidP="005964D2">
            <w:pPr>
              <w:pStyle w:val="TableHeadingLeft"/>
            </w:pPr>
            <w:r>
              <w:t>Initiative</w:t>
            </w:r>
          </w:p>
        </w:tc>
        <w:tc>
          <w:tcPr>
            <w:tcW w:w="1890" w:type="dxa"/>
            <w:tcBorders>
              <w:left w:val="single" w:sz="4" w:space="0" w:color="4A4D56" w:themeColor="text1"/>
              <w:bottom w:val="single" w:sz="4" w:space="0" w:color="4A4D56" w:themeColor="text1"/>
              <w:right w:val="single" w:sz="4" w:space="0" w:color="4A4D56" w:themeColor="text1"/>
            </w:tcBorders>
          </w:tcPr>
          <w:p w14:paraId="39644098" w14:textId="77777777" w:rsidR="00C0033C" w:rsidRPr="00625570" w:rsidRDefault="00C0033C" w:rsidP="005964D2">
            <w:pPr>
              <w:pStyle w:val="TableHeadingCentered"/>
              <w:cnfStyle w:val="100000000000" w:firstRow="1" w:lastRow="0" w:firstColumn="0" w:lastColumn="0" w:oddVBand="0" w:evenVBand="0" w:oddHBand="0" w:evenHBand="0" w:firstRowFirstColumn="0" w:firstRowLastColumn="0" w:lastRowFirstColumn="0" w:lastRowLastColumn="0"/>
            </w:pPr>
            <w:r>
              <w:t>Channel</w:t>
            </w:r>
          </w:p>
        </w:tc>
        <w:tc>
          <w:tcPr>
            <w:tcW w:w="1685" w:type="dxa"/>
            <w:tcBorders>
              <w:left w:val="single" w:sz="4" w:space="0" w:color="4A4D56" w:themeColor="text1"/>
              <w:bottom w:val="single" w:sz="4" w:space="0" w:color="4A4D56" w:themeColor="text1"/>
              <w:right w:val="single" w:sz="4" w:space="0" w:color="4A4D56" w:themeColor="text1"/>
            </w:tcBorders>
          </w:tcPr>
          <w:p w14:paraId="560EEC25" w14:textId="77777777" w:rsidR="00C0033C" w:rsidRPr="00625570" w:rsidRDefault="00C0033C" w:rsidP="005964D2">
            <w:pPr>
              <w:pStyle w:val="TableHeadingCentered"/>
              <w:cnfStyle w:val="100000000000" w:firstRow="1" w:lastRow="0" w:firstColumn="0" w:lastColumn="0" w:oddVBand="0" w:evenVBand="0" w:oddHBand="0" w:evenHBand="0" w:firstRowFirstColumn="0" w:firstRowLastColumn="0" w:lastRowFirstColumn="0" w:lastRowLastColumn="0"/>
            </w:pPr>
            <w:r>
              <w:t xml:space="preserve">AIC Gas </w:t>
            </w:r>
            <w:proofErr w:type="spellStart"/>
            <w:r>
              <w:t>Therms</w:t>
            </w:r>
            <w:proofErr w:type="spellEnd"/>
            <w:r>
              <w:t xml:space="preserve"> Converted</w:t>
            </w:r>
          </w:p>
        </w:tc>
        <w:tc>
          <w:tcPr>
            <w:tcW w:w="1915" w:type="dxa"/>
            <w:tcBorders>
              <w:left w:val="single" w:sz="4" w:space="0" w:color="4A4D56" w:themeColor="text1"/>
              <w:bottom w:val="single" w:sz="4" w:space="0" w:color="4A4D56" w:themeColor="text1"/>
              <w:right w:val="single" w:sz="4" w:space="0" w:color="4A4D56" w:themeColor="text1"/>
            </w:tcBorders>
          </w:tcPr>
          <w:p w14:paraId="15863AFC" w14:textId="77777777" w:rsidR="00C0033C" w:rsidRPr="00625570" w:rsidRDefault="00C0033C" w:rsidP="005964D2">
            <w:pPr>
              <w:pStyle w:val="TableHeadingCentered"/>
              <w:cnfStyle w:val="100000000000" w:firstRow="1" w:lastRow="0" w:firstColumn="0" w:lastColumn="0" w:oddVBand="0" w:evenVBand="0" w:oddHBand="0" w:evenHBand="0" w:firstRowFirstColumn="0" w:firstRowLastColumn="0" w:lastRowFirstColumn="0" w:lastRowLastColumn="0"/>
            </w:pPr>
            <w:r>
              <w:t xml:space="preserve">Non-AIC Gas </w:t>
            </w:r>
            <w:proofErr w:type="spellStart"/>
            <w:r>
              <w:t>Therms</w:t>
            </w:r>
            <w:proofErr w:type="spellEnd"/>
            <w:r>
              <w:t xml:space="preserve"> Converted</w:t>
            </w:r>
          </w:p>
        </w:tc>
        <w:tc>
          <w:tcPr>
            <w:tcW w:w="1620" w:type="dxa"/>
            <w:tcBorders>
              <w:left w:val="single" w:sz="4" w:space="0" w:color="4A4D56" w:themeColor="text1"/>
              <w:bottom w:val="single" w:sz="4" w:space="0" w:color="4A4D56" w:themeColor="text1"/>
              <w:right w:val="single" w:sz="4" w:space="0" w:color="4A4D56" w:themeColor="text1"/>
            </w:tcBorders>
          </w:tcPr>
          <w:p w14:paraId="59918C78" w14:textId="77777777" w:rsidR="00C0033C" w:rsidRPr="00625570" w:rsidRDefault="00C0033C" w:rsidP="005964D2">
            <w:pPr>
              <w:pStyle w:val="TableHeadingCentered"/>
              <w:cnfStyle w:val="100000000000" w:firstRow="1" w:lastRow="0" w:firstColumn="0" w:lastColumn="0" w:oddVBand="0" w:evenVBand="0" w:oddHBand="0" w:evenHBand="0" w:firstRowFirstColumn="0" w:firstRowLastColumn="0" w:lastRowFirstColumn="0" w:lastRowLastColumn="0"/>
            </w:pPr>
            <w:r>
              <w:t xml:space="preserve">Propane </w:t>
            </w:r>
            <w:proofErr w:type="spellStart"/>
            <w:r>
              <w:t>Therms</w:t>
            </w:r>
            <w:proofErr w:type="spellEnd"/>
            <w:r>
              <w:t xml:space="preserve"> Converted</w:t>
            </w:r>
          </w:p>
        </w:tc>
        <w:tc>
          <w:tcPr>
            <w:tcW w:w="1522" w:type="dxa"/>
            <w:tcBorders>
              <w:left w:val="single" w:sz="4" w:space="0" w:color="4A4D56" w:themeColor="text1"/>
              <w:bottom w:val="single" w:sz="4" w:space="0" w:color="4A4D56" w:themeColor="text1"/>
            </w:tcBorders>
          </w:tcPr>
          <w:p w14:paraId="3FC6B6E7" w14:textId="77777777" w:rsidR="00C0033C" w:rsidRPr="00625570" w:rsidRDefault="00C0033C" w:rsidP="005964D2">
            <w:pPr>
              <w:pStyle w:val="TableHeadingCentered"/>
              <w:cnfStyle w:val="100000000000" w:firstRow="1" w:lastRow="0" w:firstColumn="0" w:lastColumn="0" w:oddVBand="0" w:evenVBand="0" w:oddHBand="0" w:evenHBand="0" w:firstRowFirstColumn="0" w:firstRowLastColumn="0" w:lastRowFirstColumn="0" w:lastRowLastColumn="0"/>
            </w:pPr>
            <w:r>
              <w:t>MWh Equivalent</w:t>
            </w:r>
          </w:p>
        </w:tc>
      </w:tr>
      <w:tr w:rsidR="00C0033C" w14:paraId="42CA8A79" w14:textId="77777777" w:rsidTr="005964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4A4D56" w:themeColor="text1"/>
            </w:tcBorders>
          </w:tcPr>
          <w:p w14:paraId="18BA020C" w14:textId="77777777" w:rsidR="00C0033C" w:rsidRPr="00625570" w:rsidRDefault="00C0033C" w:rsidP="005964D2">
            <w:pPr>
              <w:pStyle w:val="TableLeftText"/>
            </w:pPr>
            <w:r>
              <w:rPr>
                <w:color w:val="4A4D56"/>
              </w:rPr>
              <w:t>Income Qualified</w:t>
            </w:r>
          </w:p>
        </w:tc>
        <w:tc>
          <w:tcPr>
            <w:tcW w:w="1890" w:type="dxa"/>
            <w:tcBorders>
              <w:top w:val="single" w:sz="4" w:space="0" w:color="4A4D56" w:themeColor="text1"/>
            </w:tcBorders>
          </w:tcPr>
          <w:p w14:paraId="32ED4992" w14:textId="77777777" w:rsidR="00C0033C" w:rsidRPr="000B7901" w:rsidRDefault="00C0033C" w:rsidP="005964D2">
            <w:pPr>
              <w:pStyle w:val="TableCenterText"/>
              <w:jc w:val="left"/>
              <w:cnfStyle w:val="000000100000" w:firstRow="0" w:lastRow="0" w:firstColumn="0" w:lastColumn="0" w:oddVBand="0" w:evenVBand="0" w:oddHBand="1" w:evenHBand="0" w:firstRowFirstColumn="0" w:firstRowLastColumn="0" w:lastRowFirstColumn="0" w:lastRowLastColumn="0"/>
            </w:pPr>
            <w:r>
              <w:rPr>
                <w:color w:val="4A4D56"/>
              </w:rPr>
              <w:t>Retail Products</w:t>
            </w:r>
          </w:p>
        </w:tc>
        <w:tc>
          <w:tcPr>
            <w:tcW w:w="1685" w:type="dxa"/>
            <w:tcBorders>
              <w:top w:val="single" w:sz="4" w:space="0" w:color="4A4D56" w:themeColor="text1"/>
            </w:tcBorders>
          </w:tcPr>
          <w:p w14:paraId="542C3D41"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15" w:type="dxa"/>
            <w:tcBorders>
              <w:top w:val="single" w:sz="4" w:space="0" w:color="4A4D56" w:themeColor="text1"/>
              <w:right w:val="single" w:sz="4" w:space="0" w:color="4A4D56" w:themeColor="text1"/>
            </w:tcBorders>
          </w:tcPr>
          <w:p w14:paraId="4036D0F0"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620"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11FA575D"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31,374</w:t>
            </w:r>
          </w:p>
        </w:tc>
        <w:tc>
          <w:tcPr>
            <w:tcW w:w="1522"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4BF64BE6"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919</w:t>
            </w:r>
          </w:p>
        </w:tc>
      </w:tr>
      <w:tr w:rsidR="00C0033C" w14:paraId="4ED7ED83" w14:textId="77777777" w:rsidTr="005964D2">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F2F2E94" w14:textId="77777777" w:rsidR="00C0033C" w:rsidRPr="00625570" w:rsidRDefault="00C0033C" w:rsidP="005964D2">
            <w:pPr>
              <w:pStyle w:val="TableLeftText"/>
            </w:pPr>
            <w:r>
              <w:rPr>
                <w:color w:val="4A4D56"/>
              </w:rPr>
              <w:t>Income Qualified</w:t>
            </w:r>
          </w:p>
        </w:tc>
        <w:tc>
          <w:tcPr>
            <w:tcW w:w="1890" w:type="dxa"/>
          </w:tcPr>
          <w:p w14:paraId="001ACFD1" w14:textId="77777777" w:rsidR="00C0033C" w:rsidRPr="000B7901" w:rsidRDefault="00C0033C" w:rsidP="005964D2">
            <w:pPr>
              <w:pStyle w:val="TableCenterText"/>
              <w:jc w:val="left"/>
              <w:cnfStyle w:val="000000010000" w:firstRow="0" w:lastRow="0" w:firstColumn="0" w:lastColumn="0" w:oddVBand="0" w:evenVBand="0" w:oddHBand="0" w:evenHBand="1" w:firstRowFirstColumn="0" w:firstRowLastColumn="0" w:lastRowFirstColumn="0" w:lastRowLastColumn="0"/>
            </w:pPr>
            <w:r>
              <w:rPr>
                <w:color w:val="4A4D56"/>
              </w:rPr>
              <w:t>Single Family</w:t>
            </w:r>
          </w:p>
        </w:tc>
        <w:tc>
          <w:tcPr>
            <w:tcW w:w="1685" w:type="dxa"/>
          </w:tcPr>
          <w:p w14:paraId="1FA335B5"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15" w:type="dxa"/>
            <w:tcBorders>
              <w:right w:val="single" w:sz="4" w:space="0" w:color="4A4D56" w:themeColor="text1"/>
            </w:tcBorders>
          </w:tcPr>
          <w:p w14:paraId="53501DBF"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582</w:t>
            </w:r>
          </w:p>
        </w:tc>
        <w:tc>
          <w:tcPr>
            <w:tcW w:w="1620"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43920B11"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278</w:t>
            </w:r>
          </w:p>
        </w:tc>
        <w:tc>
          <w:tcPr>
            <w:tcW w:w="1522"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54BF6D7B"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25</w:t>
            </w:r>
          </w:p>
        </w:tc>
      </w:tr>
      <w:tr w:rsidR="00C0033C" w14:paraId="130A321A" w14:textId="77777777" w:rsidTr="005964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CBF8EA9" w14:textId="77777777" w:rsidR="00C0033C" w:rsidRPr="00625570" w:rsidRDefault="00C0033C" w:rsidP="005964D2">
            <w:pPr>
              <w:pStyle w:val="TableLeftText"/>
            </w:pPr>
            <w:r>
              <w:rPr>
                <w:color w:val="4A4D56"/>
              </w:rPr>
              <w:t>Income Qualified</w:t>
            </w:r>
          </w:p>
        </w:tc>
        <w:tc>
          <w:tcPr>
            <w:tcW w:w="1890" w:type="dxa"/>
          </w:tcPr>
          <w:p w14:paraId="6BD0BB97" w14:textId="77777777" w:rsidR="00C0033C" w:rsidRPr="000B7901" w:rsidRDefault="00C0033C" w:rsidP="005964D2">
            <w:pPr>
              <w:pStyle w:val="TableCenterText"/>
              <w:jc w:val="left"/>
              <w:cnfStyle w:val="000000100000" w:firstRow="0" w:lastRow="0" w:firstColumn="0" w:lastColumn="0" w:oddVBand="0" w:evenVBand="0" w:oddHBand="1" w:evenHBand="0" w:firstRowFirstColumn="0" w:firstRowLastColumn="0" w:lastRowFirstColumn="0" w:lastRowLastColumn="0"/>
            </w:pPr>
            <w:r>
              <w:rPr>
                <w:color w:val="4A4D56"/>
              </w:rPr>
              <w:t>CAA</w:t>
            </w:r>
          </w:p>
        </w:tc>
        <w:tc>
          <w:tcPr>
            <w:tcW w:w="1685" w:type="dxa"/>
          </w:tcPr>
          <w:p w14:paraId="41B973A9"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15" w:type="dxa"/>
            <w:tcBorders>
              <w:right w:val="single" w:sz="4" w:space="0" w:color="4A4D56" w:themeColor="text1"/>
            </w:tcBorders>
          </w:tcPr>
          <w:p w14:paraId="0296F224"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320</w:t>
            </w:r>
          </w:p>
        </w:tc>
        <w:tc>
          <w:tcPr>
            <w:tcW w:w="1620"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73D3F716"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109</w:t>
            </w:r>
          </w:p>
        </w:tc>
        <w:tc>
          <w:tcPr>
            <w:tcW w:w="1522"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25BB070D"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w:t>
            </w:r>
          </w:p>
        </w:tc>
      </w:tr>
      <w:tr w:rsidR="00C0033C" w14:paraId="58310EAA" w14:textId="77777777" w:rsidTr="005964D2">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0930C1A7" w14:textId="77777777" w:rsidR="00C0033C" w:rsidRPr="00625570" w:rsidRDefault="00C0033C" w:rsidP="005964D2">
            <w:pPr>
              <w:pStyle w:val="TableLeftText"/>
            </w:pPr>
            <w:r>
              <w:rPr>
                <w:color w:val="4A4D56"/>
              </w:rPr>
              <w:t>Income Qualified</w:t>
            </w:r>
          </w:p>
        </w:tc>
        <w:tc>
          <w:tcPr>
            <w:tcW w:w="1890" w:type="dxa"/>
          </w:tcPr>
          <w:p w14:paraId="2E81CB9B" w14:textId="77777777" w:rsidR="00C0033C" w:rsidRPr="000B7901" w:rsidRDefault="00C0033C" w:rsidP="005964D2">
            <w:pPr>
              <w:pStyle w:val="TableCenterText"/>
              <w:jc w:val="left"/>
              <w:cnfStyle w:val="000000010000" w:firstRow="0" w:lastRow="0" w:firstColumn="0" w:lastColumn="0" w:oddVBand="0" w:evenVBand="0" w:oddHBand="0" w:evenHBand="1" w:firstRowFirstColumn="0" w:firstRowLastColumn="0" w:lastRowFirstColumn="0" w:lastRowLastColumn="0"/>
            </w:pPr>
            <w:r>
              <w:rPr>
                <w:color w:val="4A4D56"/>
              </w:rPr>
              <w:t>Joint Utility</w:t>
            </w:r>
          </w:p>
        </w:tc>
        <w:tc>
          <w:tcPr>
            <w:tcW w:w="1685" w:type="dxa"/>
          </w:tcPr>
          <w:p w14:paraId="446CCC08"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15" w:type="dxa"/>
            <w:tcBorders>
              <w:right w:val="single" w:sz="4" w:space="0" w:color="4A4D56" w:themeColor="text1"/>
            </w:tcBorders>
          </w:tcPr>
          <w:p w14:paraId="1CDC16C4"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454</w:t>
            </w:r>
          </w:p>
        </w:tc>
        <w:tc>
          <w:tcPr>
            <w:tcW w:w="1620"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42621819"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522"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48434814"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13</w:t>
            </w:r>
          </w:p>
        </w:tc>
      </w:tr>
      <w:tr w:rsidR="00C0033C" w14:paraId="35238B71" w14:textId="77777777" w:rsidTr="005964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D0C8312" w14:textId="77777777" w:rsidR="00C0033C" w:rsidRDefault="00C0033C" w:rsidP="005964D2">
            <w:pPr>
              <w:pStyle w:val="TableLeftText"/>
              <w:rPr>
                <w:color w:val="4A4D56"/>
              </w:rPr>
            </w:pPr>
            <w:r>
              <w:rPr>
                <w:color w:val="4A4D56"/>
              </w:rPr>
              <w:t>Income Qualified</w:t>
            </w:r>
          </w:p>
        </w:tc>
        <w:tc>
          <w:tcPr>
            <w:tcW w:w="1890" w:type="dxa"/>
          </w:tcPr>
          <w:p w14:paraId="140D3849" w14:textId="77777777" w:rsidR="00C0033C" w:rsidRDefault="00C0033C" w:rsidP="005964D2">
            <w:pPr>
              <w:pStyle w:val="TableCenterText"/>
              <w:jc w:val="left"/>
              <w:cnfStyle w:val="000000100000" w:firstRow="0" w:lastRow="0" w:firstColumn="0" w:lastColumn="0" w:oddVBand="0" w:evenVBand="0" w:oddHBand="1" w:evenHBand="0" w:firstRowFirstColumn="0" w:firstRowLastColumn="0" w:lastRowFirstColumn="0" w:lastRowLastColumn="0"/>
              <w:rPr>
                <w:color w:val="4A4D56"/>
              </w:rPr>
            </w:pPr>
            <w:r>
              <w:rPr>
                <w:color w:val="4A4D56"/>
              </w:rPr>
              <w:t>Smart Savers</w:t>
            </w:r>
          </w:p>
        </w:tc>
        <w:tc>
          <w:tcPr>
            <w:tcW w:w="1685" w:type="dxa"/>
          </w:tcPr>
          <w:p w14:paraId="5A350DFA" w14:textId="77777777" w:rsidR="00C0033C"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c>
          <w:tcPr>
            <w:tcW w:w="1915" w:type="dxa"/>
            <w:tcBorders>
              <w:right w:val="single" w:sz="4" w:space="0" w:color="4A4D56" w:themeColor="text1"/>
            </w:tcBorders>
          </w:tcPr>
          <w:p w14:paraId="40661845" w14:textId="77777777" w:rsidR="00C0033C"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85</w:t>
            </w:r>
          </w:p>
        </w:tc>
        <w:tc>
          <w:tcPr>
            <w:tcW w:w="1620"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27BDF0DA" w14:textId="77777777" w:rsidR="00C0033C"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487</w:t>
            </w:r>
          </w:p>
        </w:tc>
        <w:tc>
          <w:tcPr>
            <w:tcW w:w="1522" w:type="dxa"/>
            <w:tcBorders>
              <w:top w:val="single" w:sz="4" w:space="0" w:color="4A4D56" w:themeColor="text1"/>
              <w:left w:val="single" w:sz="4" w:space="0" w:color="4A4D56" w:themeColor="text1"/>
              <w:bottom w:val="single" w:sz="4" w:space="0" w:color="4A4D56" w:themeColor="text1"/>
              <w:right w:val="single" w:sz="4" w:space="0" w:color="4A4D56" w:themeColor="text1"/>
            </w:tcBorders>
          </w:tcPr>
          <w:p w14:paraId="3CCD903F" w14:textId="77777777" w:rsidR="00C0033C"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17</w:t>
            </w:r>
          </w:p>
        </w:tc>
      </w:tr>
      <w:tr w:rsidR="00C0033C" w14:paraId="091D785B" w14:textId="77777777" w:rsidTr="005964D2">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FA93DA0" w14:textId="77777777" w:rsidR="00C0033C" w:rsidRPr="00625570" w:rsidRDefault="00C0033C" w:rsidP="005964D2">
            <w:pPr>
              <w:pStyle w:val="TableLeftText"/>
            </w:pPr>
            <w:r>
              <w:rPr>
                <w:color w:val="4A4D56"/>
              </w:rPr>
              <w:t>Market Rate Single Family</w:t>
            </w:r>
          </w:p>
        </w:tc>
        <w:tc>
          <w:tcPr>
            <w:tcW w:w="1890" w:type="dxa"/>
          </w:tcPr>
          <w:p w14:paraId="0AADF939" w14:textId="77777777" w:rsidR="00C0033C" w:rsidRPr="000B7901" w:rsidRDefault="00C0033C" w:rsidP="005964D2">
            <w:pPr>
              <w:pStyle w:val="TableCenterText"/>
              <w:jc w:val="left"/>
              <w:cnfStyle w:val="000000010000" w:firstRow="0" w:lastRow="0" w:firstColumn="0" w:lastColumn="0" w:oddVBand="0" w:evenVBand="0" w:oddHBand="0" w:evenHBand="1" w:firstRowFirstColumn="0" w:firstRowLastColumn="0" w:lastRowFirstColumn="0" w:lastRowLastColumn="0"/>
            </w:pPr>
            <w:r>
              <w:rPr>
                <w:color w:val="4A4D56"/>
              </w:rPr>
              <w:t>Home Efficiency</w:t>
            </w:r>
          </w:p>
        </w:tc>
        <w:tc>
          <w:tcPr>
            <w:tcW w:w="1685" w:type="dxa"/>
          </w:tcPr>
          <w:p w14:paraId="4F3EA7DE"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15" w:type="dxa"/>
          </w:tcPr>
          <w:p w14:paraId="31BAD747"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w:t>
            </w:r>
          </w:p>
        </w:tc>
        <w:tc>
          <w:tcPr>
            <w:tcW w:w="1620" w:type="dxa"/>
            <w:tcBorders>
              <w:top w:val="single" w:sz="4" w:space="0" w:color="4A4D56" w:themeColor="text1"/>
            </w:tcBorders>
          </w:tcPr>
          <w:p w14:paraId="67E17A49"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11</w:t>
            </w:r>
          </w:p>
        </w:tc>
        <w:tc>
          <w:tcPr>
            <w:tcW w:w="1522" w:type="dxa"/>
            <w:tcBorders>
              <w:top w:val="single" w:sz="4" w:space="0" w:color="4A4D56" w:themeColor="text1"/>
            </w:tcBorders>
          </w:tcPr>
          <w:p w14:paraId="501D24E6" w14:textId="77777777" w:rsidR="00C0033C" w:rsidRPr="000B7901"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w:t>
            </w:r>
          </w:p>
        </w:tc>
      </w:tr>
      <w:tr w:rsidR="00C0033C" w14:paraId="39A18F3D" w14:textId="77777777" w:rsidTr="005964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A9EE4A5" w14:textId="77777777" w:rsidR="00C0033C" w:rsidRPr="00625570" w:rsidRDefault="00C0033C" w:rsidP="005964D2">
            <w:pPr>
              <w:pStyle w:val="TableLeftText"/>
            </w:pPr>
            <w:r>
              <w:rPr>
                <w:color w:val="4A4D56"/>
              </w:rPr>
              <w:t>Custom</w:t>
            </w:r>
          </w:p>
        </w:tc>
        <w:tc>
          <w:tcPr>
            <w:tcW w:w="1890" w:type="dxa"/>
          </w:tcPr>
          <w:p w14:paraId="4CB66083" w14:textId="77777777" w:rsidR="00C0033C" w:rsidRPr="000B7901" w:rsidRDefault="00C0033C" w:rsidP="005964D2">
            <w:pPr>
              <w:pStyle w:val="TableCenterText"/>
              <w:jc w:val="left"/>
              <w:cnfStyle w:val="000000100000" w:firstRow="0" w:lastRow="0" w:firstColumn="0" w:lastColumn="0" w:oddVBand="0" w:evenVBand="0" w:oddHBand="1" w:evenHBand="0" w:firstRowFirstColumn="0" w:firstRowLastColumn="0" w:lastRowFirstColumn="0" w:lastRowLastColumn="0"/>
            </w:pPr>
            <w:r>
              <w:rPr>
                <w:color w:val="4A4D56"/>
              </w:rPr>
              <w:t>Custom Incentives</w:t>
            </w:r>
          </w:p>
        </w:tc>
        <w:tc>
          <w:tcPr>
            <w:tcW w:w="1685" w:type="dxa"/>
          </w:tcPr>
          <w:p w14:paraId="0BA161E0"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15" w:type="dxa"/>
          </w:tcPr>
          <w:p w14:paraId="49349183"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1,414,278</w:t>
            </w:r>
          </w:p>
        </w:tc>
        <w:tc>
          <w:tcPr>
            <w:tcW w:w="1620" w:type="dxa"/>
          </w:tcPr>
          <w:p w14:paraId="00BF1ED8"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522" w:type="dxa"/>
          </w:tcPr>
          <w:p w14:paraId="3F0EE630" w14:textId="77777777" w:rsidR="00C0033C" w:rsidRPr="000B7901"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41,438</w:t>
            </w:r>
          </w:p>
        </w:tc>
      </w:tr>
      <w:tr w:rsidR="00C0033C" w14:paraId="26B93651" w14:textId="77777777" w:rsidTr="000512F3">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315" w:type="dxa"/>
            <w:gridSpan w:val="2"/>
          </w:tcPr>
          <w:p w14:paraId="0600E743" w14:textId="77777777" w:rsidR="00C0033C" w:rsidRPr="00987E26" w:rsidRDefault="00C0033C" w:rsidP="005964D2">
            <w:pPr>
              <w:pStyle w:val="TableCenterText"/>
              <w:jc w:val="left"/>
              <w:rPr>
                <w:rFonts w:ascii="Franklin Gothic Medium" w:hAnsi="Franklin Gothic Medium"/>
              </w:rPr>
            </w:pPr>
            <w:r w:rsidRPr="00987E26">
              <w:rPr>
                <w:rFonts w:ascii="Franklin Gothic Medium" w:hAnsi="Franklin Gothic Medium"/>
              </w:rPr>
              <w:t>Total</w:t>
            </w:r>
          </w:p>
        </w:tc>
        <w:tc>
          <w:tcPr>
            <w:tcW w:w="5220" w:type="dxa"/>
            <w:gridSpan w:val="3"/>
          </w:tcPr>
          <w:p w14:paraId="6BB4AF7B" w14:textId="77777777" w:rsidR="00C0033C" w:rsidRPr="00987E26" w:rsidRDefault="00C0033C" w:rsidP="005964D2">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1,448,068</w:t>
            </w:r>
          </w:p>
        </w:tc>
        <w:tc>
          <w:tcPr>
            <w:tcW w:w="1522" w:type="dxa"/>
          </w:tcPr>
          <w:p w14:paraId="0DBD0017" w14:textId="77777777" w:rsidR="00C0033C" w:rsidRPr="00987E26"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42,428</w:t>
            </w:r>
          </w:p>
        </w:tc>
      </w:tr>
      <w:tr w:rsidR="00C0033C" w14:paraId="0B0DF9C6" w14:textId="77777777" w:rsidTr="000512F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315" w:type="dxa"/>
            <w:gridSpan w:val="2"/>
          </w:tcPr>
          <w:p w14:paraId="2A65919A" w14:textId="77777777" w:rsidR="00C0033C" w:rsidRPr="00987E26" w:rsidRDefault="00C0033C" w:rsidP="005964D2">
            <w:pPr>
              <w:pStyle w:val="TableCenterText"/>
              <w:jc w:val="left"/>
              <w:rPr>
                <w:i/>
                <w:iCs/>
              </w:rPr>
            </w:pPr>
            <w:r w:rsidRPr="00987E26">
              <w:rPr>
                <w:i/>
                <w:iCs/>
              </w:rPr>
              <w:t>Conversion Cap</w:t>
            </w:r>
          </w:p>
        </w:tc>
        <w:tc>
          <w:tcPr>
            <w:tcW w:w="5220" w:type="dxa"/>
            <w:gridSpan w:val="3"/>
          </w:tcPr>
          <w:p w14:paraId="158F8210" w14:textId="77777777" w:rsidR="00C0033C" w:rsidRPr="00987E26" w:rsidRDefault="00C0033C" w:rsidP="005964D2">
            <w:pPr>
              <w:pStyle w:val="TableCenterText"/>
              <w:cnfStyle w:val="000000100000" w:firstRow="0" w:lastRow="0" w:firstColumn="0" w:lastColumn="0" w:oddVBand="0" w:evenVBand="0" w:oddHBand="1" w:evenHBand="0" w:firstRowFirstColumn="0" w:firstRowLastColumn="0" w:lastRowFirstColumn="0" w:lastRowLastColumn="0"/>
              <w:rPr>
                <w:i/>
                <w:iCs/>
              </w:rPr>
            </w:pPr>
            <w:r>
              <w:rPr>
                <w:i/>
                <w:iCs/>
                <w:color w:val="4A4D56"/>
              </w:rPr>
              <w:t>1,448,068</w:t>
            </w:r>
          </w:p>
        </w:tc>
        <w:tc>
          <w:tcPr>
            <w:tcW w:w="1522" w:type="dxa"/>
          </w:tcPr>
          <w:p w14:paraId="3D7D4D5F" w14:textId="77777777" w:rsidR="00C0033C" w:rsidRPr="00987E26" w:rsidRDefault="00C0033C" w:rsidP="005964D2">
            <w:pPr>
              <w:pStyle w:val="TableCenterText"/>
              <w:jc w:val="right"/>
              <w:cnfStyle w:val="000000100000" w:firstRow="0" w:lastRow="0" w:firstColumn="0" w:lastColumn="0" w:oddVBand="0" w:evenVBand="0" w:oddHBand="1" w:evenHBand="0" w:firstRowFirstColumn="0" w:firstRowLastColumn="0" w:lastRowFirstColumn="0" w:lastRowLastColumn="0"/>
              <w:rPr>
                <w:i/>
                <w:iCs/>
              </w:rPr>
            </w:pPr>
            <w:r>
              <w:rPr>
                <w:i/>
                <w:iCs/>
                <w:color w:val="4A4D56"/>
              </w:rPr>
              <w:t>42,428</w:t>
            </w:r>
          </w:p>
        </w:tc>
      </w:tr>
      <w:tr w:rsidR="00C0033C" w14:paraId="6249C2E7" w14:textId="77777777" w:rsidTr="000512F3">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315" w:type="dxa"/>
            <w:gridSpan w:val="2"/>
          </w:tcPr>
          <w:p w14:paraId="3233E69D" w14:textId="77777777" w:rsidR="00C0033C" w:rsidRPr="00987E26" w:rsidRDefault="00C0033C" w:rsidP="005964D2">
            <w:pPr>
              <w:pStyle w:val="TableCenterText"/>
              <w:jc w:val="left"/>
              <w:rPr>
                <w:i/>
                <w:iCs/>
              </w:rPr>
            </w:pPr>
            <w:r w:rsidRPr="00987E26">
              <w:rPr>
                <w:i/>
                <w:iCs/>
              </w:rPr>
              <w:t>% of Cap</w:t>
            </w:r>
          </w:p>
        </w:tc>
        <w:tc>
          <w:tcPr>
            <w:tcW w:w="5220" w:type="dxa"/>
            <w:gridSpan w:val="3"/>
          </w:tcPr>
          <w:p w14:paraId="0C22EC08" w14:textId="77777777" w:rsidR="00C0033C" w:rsidRPr="00987E26" w:rsidRDefault="00C0033C" w:rsidP="005964D2">
            <w:pPr>
              <w:pStyle w:val="TableCenterText"/>
              <w:cnfStyle w:val="000000010000" w:firstRow="0" w:lastRow="0" w:firstColumn="0" w:lastColumn="0" w:oddVBand="0" w:evenVBand="0" w:oddHBand="0" w:evenHBand="1" w:firstRowFirstColumn="0" w:firstRowLastColumn="0" w:lastRowFirstColumn="0" w:lastRowLastColumn="0"/>
              <w:rPr>
                <w:i/>
                <w:iCs/>
              </w:rPr>
            </w:pPr>
            <w:r>
              <w:rPr>
                <w:i/>
                <w:iCs/>
                <w:color w:val="4A4D56"/>
              </w:rPr>
              <w:t>100.0%</w:t>
            </w:r>
          </w:p>
        </w:tc>
        <w:tc>
          <w:tcPr>
            <w:tcW w:w="1522" w:type="dxa"/>
          </w:tcPr>
          <w:p w14:paraId="32C59DF6" w14:textId="77777777" w:rsidR="00C0033C" w:rsidRPr="00987E26" w:rsidRDefault="00C0033C" w:rsidP="005964D2">
            <w:pPr>
              <w:pStyle w:val="TableCenterText"/>
              <w:jc w:val="right"/>
              <w:cnfStyle w:val="000000010000" w:firstRow="0" w:lastRow="0" w:firstColumn="0" w:lastColumn="0" w:oddVBand="0" w:evenVBand="0" w:oddHBand="0" w:evenHBand="1" w:firstRowFirstColumn="0" w:firstRowLastColumn="0" w:lastRowFirstColumn="0" w:lastRowLastColumn="0"/>
              <w:rPr>
                <w:i/>
                <w:iCs/>
              </w:rPr>
            </w:pPr>
            <w:r>
              <w:rPr>
                <w:i/>
                <w:iCs/>
                <w:color w:val="4A4D56"/>
              </w:rPr>
              <w:t>100.0%</w:t>
            </w:r>
          </w:p>
        </w:tc>
      </w:tr>
    </w:tbl>
    <w:p w14:paraId="47F7C219" w14:textId="7E3D436B" w:rsidR="000512F3" w:rsidRDefault="000512F3" w:rsidP="000512F3">
      <w:pPr>
        <w:spacing w:before="100" w:beforeAutospacing="1"/>
      </w:pPr>
      <w:bookmarkStart w:id="81" w:name="_Ref192684526"/>
      <w:r>
        <w:t xml:space="preserve">AIC achieved 1,448,068 </w:t>
      </w:r>
      <w:proofErr w:type="spellStart"/>
      <w:proofErr w:type="gramStart"/>
      <w:r>
        <w:t>therms</w:t>
      </w:r>
      <w:proofErr w:type="spellEnd"/>
      <w:proofErr w:type="gramEnd"/>
      <w:r>
        <w:t xml:space="preserve"> of savings allowed to be converted in 2024, all of which came from sources other than AIC-provided natural gas (e.g. non-AIC gas or propane). Therefore, AIC achieved 42,428 MWh of (b-25) conversion savings that can be counted against its AAIG in 2024, while not incurring any penalties against its natural gas goals.</w:t>
      </w:r>
    </w:p>
    <w:p w14:paraId="42C6FE45" w14:textId="6D825D83" w:rsidR="00C0033C" w:rsidRDefault="00F97FEE" w:rsidP="00C0033C">
      <w:pPr>
        <w:pStyle w:val="Heading3"/>
      </w:pPr>
      <w:bookmarkStart w:id="82" w:name="_Ref192772825"/>
      <w:r>
        <w:t xml:space="preserve">Subsection </w:t>
      </w:r>
      <w:r w:rsidR="00C0033C">
        <w:t>(b-27)</w:t>
      </w:r>
      <w:bookmarkEnd w:id="81"/>
      <w:r>
        <w:t xml:space="preserve"> and Policy Manual Section 12.3 Conversions</w:t>
      </w:r>
      <w:bookmarkEnd w:id="82"/>
    </w:p>
    <w:p w14:paraId="5477B296" w14:textId="200F2DB7" w:rsidR="00F97FEE" w:rsidRPr="00F97FEE" w:rsidRDefault="00F97FEE" w:rsidP="00F97FEE">
      <w:pPr>
        <w:pStyle w:val="Heading4"/>
      </w:pPr>
      <w:r>
        <w:t>Background</w:t>
      </w:r>
    </w:p>
    <w:p w14:paraId="5B7BCE09" w14:textId="5FDED8F7" w:rsidR="000512F3" w:rsidRDefault="000512F3" w:rsidP="00F97FEE">
      <w:r w:rsidRPr="00F97FEE">
        <w:t>Subsection (b-27)</w:t>
      </w:r>
      <w:r w:rsidR="00F97FEE">
        <w:t xml:space="preserve"> of Section 8-103B</w:t>
      </w:r>
      <w:r w:rsidRPr="00F97FEE">
        <w:rPr>
          <w:rStyle w:val="FootnoteReference"/>
        </w:rPr>
        <w:footnoteReference w:id="17"/>
      </w:r>
      <w:r w:rsidRPr="00F97FEE">
        <w:t xml:space="preserve"> </w:t>
      </w:r>
      <w:r w:rsidRPr="00C6013F">
        <w:t xml:space="preserve">allows </w:t>
      </w:r>
      <w:r w:rsidR="00F97FEE">
        <w:t xml:space="preserve">Illinois </w:t>
      </w:r>
      <w:r w:rsidRPr="00C6013F">
        <w:t xml:space="preserve">electric utilities to </w:t>
      </w:r>
      <w:r>
        <w:t xml:space="preserve">offer and promote measures that electrify </w:t>
      </w:r>
      <w:proofErr w:type="spellStart"/>
      <w:r>
        <w:t>enduses</w:t>
      </w:r>
      <w:proofErr w:type="spellEnd"/>
      <w:r>
        <w:t xml:space="preserve"> that would otherwise be served by combustion of fossil fuel at the premises, provided that the electrification measures reduce total energy consumption at the premises. When these measures are offered, the electric utility may count net Btu savings achieved at the premises</w:t>
      </w:r>
      <w:r>
        <w:rPr>
          <w:rStyle w:val="FootnoteReference"/>
        </w:rPr>
        <w:footnoteReference w:id="18"/>
      </w:r>
      <w:r>
        <w:t xml:space="preserve"> in kWh toward its electric savings goals. There is an annual cap on (b-27) conversions; in 2024, no more than 5% of the electric utility’s AATS may be met via (b-27) conversions. In addition, a minimum of 25% of all electrification savings counted toward the utility’s goals each year must be from electrification of </w:t>
      </w:r>
      <w:proofErr w:type="spellStart"/>
      <w:r>
        <w:t>enduses</w:t>
      </w:r>
      <w:proofErr w:type="spellEnd"/>
      <w:r>
        <w:t xml:space="preserve"> in </w:t>
      </w:r>
      <w:proofErr w:type="gramStart"/>
      <w:r>
        <w:t>low</w:t>
      </w:r>
      <w:r w:rsidR="00B61EFC">
        <w:t xml:space="preserve"> </w:t>
      </w:r>
      <w:r>
        <w:t>income</w:t>
      </w:r>
      <w:proofErr w:type="gramEnd"/>
      <w:r>
        <w:t xml:space="preserve"> housing.</w:t>
      </w:r>
    </w:p>
    <w:p w14:paraId="65F658B5" w14:textId="7258BB6D" w:rsidR="00F97FEE" w:rsidRDefault="00F97FEE" w:rsidP="00F97FEE">
      <w:r>
        <w:lastRenderedPageBreak/>
        <w:t xml:space="preserve">In addition, </w:t>
      </w:r>
      <w:r w:rsidRPr="00E7018D">
        <w:t>Illinois Energy Efficiency Policy Manual</w:t>
      </w:r>
      <w:r>
        <w:t xml:space="preserve"> Section 12.3 directs that savings from weatherization activities conducted at a site receiving electrification of space heats shall be calculated as fossil fuel savings consistent with the weatherized site's pre-existing condition but converted to kWh equivalents for the purpose of goal attainment.</w:t>
      </w:r>
      <w:r>
        <w:rPr>
          <w:rStyle w:val="FootnoteReference"/>
        </w:rPr>
        <w:footnoteReference w:id="19"/>
      </w:r>
    </w:p>
    <w:p w14:paraId="779DB480" w14:textId="2D0B23CF" w:rsidR="00F97FEE" w:rsidRPr="00C6013F" w:rsidRDefault="00F97FEE" w:rsidP="00F97FEE">
      <w:pPr>
        <w:pStyle w:val="Heading4"/>
      </w:pPr>
      <w:r>
        <w:t>2024 Results</w:t>
      </w:r>
    </w:p>
    <w:p w14:paraId="296ACFC6" w14:textId="09069D0D" w:rsidR="00D211CD" w:rsidRDefault="000512F3" w:rsidP="000512F3">
      <w:r>
        <w:t xml:space="preserve">In 2024, </w:t>
      </w:r>
      <w:r w:rsidRPr="000512F3">
        <w:t xml:space="preserve">AIC conducted limited electrification efforts </w:t>
      </w:r>
      <w:r>
        <w:t>under subsection (b-27) f</w:t>
      </w:r>
      <w:r w:rsidRPr="000512F3">
        <w:t>or</w:t>
      </w:r>
      <w:r>
        <w:t xml:space="preserve"> the first time. These efforts were focused solely on low-income residential customers and are captured in the Electrification section of the </w:t>
      </w:r>
      <w:r w:rsidRPr="000512F3">
        <w:rPr>
          <w:i/>
          <w:iCs/>
        </w:rPr>
        <w:t>2024 AIC Residential Program Impact Evaluation Report</w:t>
      </w:r>
      <w:r>
        <w:t>.</w:t>
      </w:r>
      <w:r w:rsidR="00D211CD">
        <w:t xml:space="preserve"> </w:t>
      </w:r>
      <w:r w:rsidR="00D211CD">
        <w:fldChar w:fldCharType="begin"/>
      </w:r>
      <w:r w:rsidR="00D211CD">
        <w:instrText xml:space="preserve"> REF _Ref192773457 \h </w:instrText>
      </w:r>
      <w:r w:rsidR="00D211CD">
        <w:fldChar w:fldCharType="separate"/>
      </w:r>
      <w:r w:rsidR="00F8548D">
        <w:t xml:space="preserve">Table </w:t>
      </w:r>
      <w:r w:rsidR="00F8548D">
        <w:rPr>
          <w:noProof/>
        </w:rPr>
        <w:t>15</w:t>
      </w:r>
      <w:r w:rsidR="00D211CD">
        <w:fldChar w:fldCharType="end"/>
      </w:r>
      <w:r w:rsidR="00D211CD">
        <w:t xml:space="preserve"> </w:t>
      </w:r>
      <w:r w:rsidR="00D211CD">
        <w:t xml:space="preserve">presents a summary of </w:t>
      </w:r>
      <w:r w:rsidR="00D211CD">
        <w:t>electrification savings achieved by the 2024 AIC portfolio</w:t>
      </w:r>
      <w:r w:rsidR="00B61EFC">
        <w:t xml:space="preserve"> by category and compares them, where relevant, to the subsection (b-27) caps.</w:t>
      </w:r>
    </w:p>
    <w:p w14:paraId="6AF64D4A" w14:textId="113AC488" w:rsidR="00D211CD" w:rsidRDefault="00D211CD" w:rsidP="00883175">
      <w:pPr>
        <w:pStyle w:val="Caption"/>
      </w:pPr>
      <w:bookmarkStart w:id="83" w:name="_Ref192773457"/>
      <w:bookmarkStart w:id="84" w:name="_Toc192774889"/>
      <w:r>
        <w:t xml:space="preserve">Table </w:t>
      </w:r>
      <w:r>
        <w:fldChar w:fldCharType="begin"/>
      </w:r>
      <w:r>
        <w:instrText xml:space="preserve"> SEQ Table \* ARABIC </w:instrText>
      </w:r>
      <w:r>
        <w:fldChar w:fldCharType="separate"/>
      </w:r>
      <w:r w:rsidR="00F8548D">
        <w:rPr>
          <w:noProof/>
        </w:rPr>
        <w:t>15</w:t>
      </w:r>
      <w:r>
        <w:rPr>
          <w:noProof/>
        </w:rPr>
        <w:fldChar w:fldCharType="end"/>
      </w:r>
      <w:bookmarkEnd w:id="83"/>
      <w:r>
        <w:t>. 2024 AIC Electrification Savings</w:t>
      </w:r>
      <w:bookmarkEnd w:id="84"/>
    </w:p>
    <w:tbl>
      <w:tblPr>
        <w:tblStyle w:val="ODCBasic-1"/>
        <w:tblW w:w="0" w:type="auto"/>
        <w:tblCellMar>
          <w:top w:w="0" w:type="dxa"/>
        </w:tblCellMar>
        <w:tblLook w:val="04A0" w:firstRow="1" w:lastRow="0" w:firstColumn="1" w:lastColumn="0" w:noHBand="0" w:noVBand="1"/>
      </w:tblPr>
      <w:tblGrid>
        <w:gridCol w:w="1567"/>
        <w:gridCol w:w="1484"/>
        <w:gridCol w:w="1980"/>
        <w:gridCol w:w="1980"/>
        <w:gridCol w:w="4081"/>
      </w:tblGrid>
      <w:tr w:rsidR="00D211CD" w14:paraId="63BBFADB" w14:textId="77777777" w:rsidTr="00D211CD">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single" w:sz="4" w:space="0" w:color="4A4D56" w:themeColor="text1"/>
              <w:right w:val="single" w:sz="4" w:space="0" w:color="4A4D56" w:themeColor="text1"/>
            </w:tcBorders>
          </w:tcPr>
          <w:p w14:paraId="05FFEE72" w14:textId="16F10E37" w:rsidR="00D211CD" w:rsidRPr="00625570" w:rsidRDefault="00D211CD" w:rsidP="00276E8D">
            <w:pPr>
              <w:pStyle w:val="TableHeadingLeft"/>
            </w:pPr>
            <w:r>
              <w:t>Initiative</w:t>
            </w:r>
          </w:p>
        </w:tc>
        <w:tc>
          <w:tcPr>
            <w:tcW w:w="1484" w:type="dxa"/>
            <w:vMerge w:val="restart"/>
            <w:tcBorders>
              <w:left w:val="single" w:sz="4" w:space="0" w:color="4A4D56" w:themeColor="text1"/>
              <w:right w:val="single" w:sz="4" w:space="0" w:color="4A4D56" w:themeColor="text1"/>
            </w:tcBorders>
          </w:tcPr>
          <w:p w14:paraId="466B47E2" w14:textId="5A0C4AC1"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r>
              <w:t>Channel</w:t>
            </w:r>
          </w:p>
        </w:tc>
        <w:tc>
          <w:tcPr>
            <w:tcW w:w="3960" w:type="dxa"/>
            <w:gridSpan w:val="2"/>
            <w:tcBorders>
              <w:left w:val="single" w:sz="4" w:space="0" w:color="4A4D56" w:themeColor="text1"/>
              <w:bottom w:val="single" w:sz="4" w:space="0" w:color="4A4D56" w:themeColor="text1"/>
              <w:right w:val="single" w:sz="4" w:space="0" w:color="4A4D56" w:themeColor="text1"/>
            </w:tcBorders>
          </w:tcPr>
          <w:p w14:paraId="7DB2BEA4" w14:textId="77777777" w:rsidR="00D211CD"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rPr>
                <w:iCs w:val="0"/>
              </w:rPr>
            </w:pPr>
            <w:r>
              <w:t xml:space="preserve">8-103B Subsection (b-27) Savings Achieved </w:t>
            </w:r>
          </w:p>
          <w:p w14:paraId="11192E63" w14:textId="6D3DC3A1"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r>
              <w:t>(</w:t>
            </w:r>
            <w:r w:rsidR="00B61EFC">
              <w:t>M</w:t>
            </w:r>
            <w:r>
              <w:t>Wh Equivalents)</w:t>
            </w:r>
          </w:p>
        </w:tc>
        <w:tc>
          <w:tcPr>
            <w:tcW w:w="4081" w:type="dxa"/>
            <w:vMerge w:val="restart"/>
            <w:tcBorders>
              <w:left w:val="single" w:sz="4" w:space="0" w:color="4A4D56" w:themeColor="text1"/>
            </w:tcBorders>
          </w:tcPr>
          <w:p w14:paraId="217E1E9A" w14:textId="77777777" w:rsidR="00D211CD"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rPr>
                <w:iCs w:val="0"/>
              </w:rPr>
            </w:pPr>
            <w:r>
              <w:t xml:space="preserve">Policy Manual Section 12.3 Savings Achieved </w:t>
            </w:r>
          </w:p>
          <w:p w14:paraId="0E15571F" w14:textId="5343F0CB"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r>
              <w:t>(</w:t>
            </w:r>
            <w:r w:rsidR="00B61EFC">
              <w:t>M</w:t>
            </w:r>
            <w:r>
              <w:t>Wh Equivalents)</w:t>
            </w:r>
          </w:p>
        </w:tc>
      </w:tr>
      <w:tr w:rsidR="00D211CD" w14:paraId="06E3AA9C" w14:textId="77777777" w:rsidTr="00D211CD">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A4D56" w:themeColor="text1"/>
              <w:right w:val="single" w:sz="4" w:space="0" w:color="4A4D56" w:themeColor="text1"/>
            </w:tcBorders>
          </w:tcPr>
          <w:p w14:paraId="3D937F0C" w14:textId="77777777" w:rsidR="00D211CD" w:rsidRPr="00625570" w:rsidRDefault="00D211CD" w:rsidP="006D625A">
            <w:pPr>
              <w:pStyle w:val="ODTable"/>
              <w:suppressAutoHyphens/>
              <w:ind w:left="72"/>
              <w:rPr>
                <w:sz w:val="18"/>
                <w:szCs w:val="18"/>
              </w:rPr>
            </w:pPr>
          </w:p>
        </w:tc>
        <w:tc>
          <w:tcPr>
            <w:tcW w:w="1484" w:type="dxa"/>
            <w:vMerge/>
            <w:tcBorders>
              <w:left w:val="single" w:sz="4" w:space="0" w:color="4A4D56" w:themeColor="text1"/>
              <w:right w:val="single" w:sz="4" w:space="0" w:color="4A4D56" w:themeColor="text1"/>
            </w:tcBorders>
          </w:tcPr>
          <w:p w14:paraId="5E7DC0E1" w14:textId="54A91CEE"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rPr>
                <w:rFonts w:cs="Calibri"/>
              </w:rPr>
            </w:pPr>
          </w:p>
        </w:tc>
        <w:tc>
          <w:tcPr>
            <w:tcW w:w="1980" w:type="dxa"/>
            <w:tcBorders>
              <w:top w:val="single" w:sz="4" w:space="0" w:color="4A4D56" w:themeColor="text1"/>
              <w:left w:val="single" w:sz="4" w:space="0" w:color="4A4D56" w:themeColor="text1"/>
              <w:right w:val="single" w:sz="4" w:space="0" w:color="4A4D56" w:themeColor="text1"/>
            </w:tcBorders>
          </w:tcPr>
          <w:p w14:paraId="2FA7430E" w14:textId="0D033A2A"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r>
              <w:t>Low Income</w:t>
            </w:r>
          </w:p>
        </w:tc>
        <w:tc>
          <w:tcPr>
            <w:tcW w:w="1980" w:type="dxa"/>
            <w:tcBorders>
              <w:top w:val="single" w:sz="4" w:space="0" w:color="4A4D56" w:themeColor="text1"/>
              <w:left w:val="single" w:sz="4" w:space="0" w:color="4A4D56" w:themeColor="text1"/>
              <w:right w:val="single" w:sz="4" w:space="0" w:color="4A4D56" w:themeColor="text1"/>
            </w:tcBorders>
          </w:tcPr>
          <w:p w14:paraId="3EC43B17" w14:textId="0636D36D"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r>
              <w:t>Non-Low Income</w:t>
            </w:r>
          </w:p>
        </w:tc>
        <w:tc>
          <w:tcPr>
            <w:tcW w:w="4081" w:type="dxa"/>
            <w:vMerge/>
            <w:tcBorders>
              <w:left w:val="single" w:sz="4" w:space="0" w:color="4A4D56" w:themeColor="text1"/>
            </w:tcBorders>
          </w:tcPr>
          <w:p w14:paraId="091BB461" w14:textId="032CC60B" w:rsidR="00D211CD" w:rsidRPr="00625570" w:rsidRDefault="00D211CD" w:rsidP="00276E8D">
            <w:pPr>
              <w:pStyle w:val="TableHeadingCentered"/>
              <w:cnfStyle w:val="100000000000" w:firstRow="1" w:lastRow="0" w:firstColumn="0" w:lastColumn="0" w:oddVBand="0" w:evenVBand="0" w:oddHBand="0" w:evenHBand="0" w:firstRowFirstColumn="0" w:firstRowLastColumn="0" w:lastRowFirstColumn="0" w:lastRowLastColumn="0"/>
            </w:pPr>
          </w:p>
        </w:tc>
      </w:tr>
      <w:tr w:rsidR="00B61EFC" w14:paraId="07C9FF59" w14:textId="77777777" w:rsidTr="00D211C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6714CD14" w14:textId="5711D5C5" w:rsidR="00B61EFC" w:rsidRPr="001C50B5" w:rsidRDefault="00B61EFC" w:rsidP="00B61EFC">
            <w:pPr>
              <w:pStyle w:val="TableLeftText"/>
            </w:pPr>
            <w:r>
              <w:t>Income Qualified</w:t>
            </w:r>
          </w:p>
        </w:tc>
        <w:tc>
          <w:tcPr>
            <w:tcW w:w="1484" w:type="dxa"/>
          </w:tcPr>
          <w:p w14:paraId="240C7121" w14:textId="15A5EC62" w:rsidR="00B61EFC" w:rsidRPr="00FA3A09"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pPr>
            <w:r>
              <w:t>Electrification</w:t>
            </w:r>
          </w:p>
        </w:tc>
        <w:tc>
          <w:tcPr>
            <w:tcW w:w="1980" w:type="dxa"/>
          </w:tcPr>
          <w:p w14:paraId="5B2331CE" w14:textId="6F44CA1E" w:rsidR="00B61EFC" w:rsidRPr="00FA3A09" w:rsidRDefault="00B61EFC" w:rsidP="00B61EFC">
            <w:pPr>
              <w:pStyle w:val="TableCenterText"/>
              <w:cnfStyle w:val="000000100000" w:firstRow="0" w:lastRow="0" w:firstColumn="0" w:lastColumn="0" w:oddVBand="0" w:evenVBand="0" w:oddHBand="1" w:evenHBand="0" w:firstRowFirstColumn="0" w:firstRowLastColumn="0" w:lastRowFirstColumn="0" w:lastRowLastColumn="0"/>
            </w:pPr>
            <w:r>
              <w:rPr>
                <w:color w:val="4A4D56"/>
              </w:rPr>
              <w:t>261</w:t>
            </w:r>
          </w:p>
        </w:tc>
        <w:tc>
          <w:tcPr>
            <w:tcW w:w="1980" w:type="dxa"/>
          </w:tcPr>
          <w:p w14:paraId="703AA212" w14:textId="6564B473" w:rsidR="00B61EFC" w:rsidRPr="00FA3A09" w:rsidRDefault="00B61EFC" w:rsidP="00B61EFC">
            <w:pPr>
              <w:pStyle w:val="TableCenterText"/>
              <w:cnfStyle w:val="000000100000" w:firstRow="0" w:lastRow="0" w:firstColumn="0" w:lastColumn="0" w:oddVBand="0" w:evenVBand="0" w:oddHBand="1" w:evenHBand="0" w:firstRowFirstColumn="0" w:firstRowLastColumn="0" w:lastRowFirstColumn="0" w:lastRowLastColumn="0"/>
            </w:pPr>
            <w:r>
              <w:rPr>
                <w:color w:val="4A4D56"/>
              </w:rPr>
              <w:t>0</w:t>
            </w:r>
          </w:p>
        </w:tc>
        <w:tc>
          <w:tcPr>
            <w:tcW w:w="4081" w:type="dxa"/>
          </w:tcPr>
          <w:p w14:paraId="14687E82" w14:textId="2F5BBA98" w:rsidR="00B61EFC" w:rsidRPr="00FA3A09" w:rsidRDefault="00B61EFC" w:rsidP="00B61EFC">
            <w:pPr>
              <w:pStyle w:val="TableCenterText"/>
              <w:cnfStyle w:val="000000100000" w:firstRow="0" w:lastRow="0" w:firstColumn="0" w:lastColumn="0" w:oddVBand="0" w:evenVBand="0" w:oddHBand="1" w:evenHBand="0" w:firstRowFirstColumn="0" w:firstRowLastColumn="0" w:lastRowFirstColumn="0" w:lastRowLastColumn="0"/>
            </w:pPr>
            <w:r>
              <w:rPr>
                <w:color w:val="4A4D56"/>
              </w:rPr>
              <w:t>61</w:t>
            </w:r>
          </w:p>
        </w:tc>
      </w:tr>
      <w:tr w:rsidR="00B61EFC" w14:paraId="606F7485" w14:textId="77777777" w:rsidTr="00D211CD">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051" w:type="dxa"/>
            <w:gridSpan w:val="2"/>
          </w:tcPr>
          <w:p w14:paraId="5CD4C4EE" w14:textId="64AA9B72" w:rsidR="00B61EFC" w:rsidRPr="00FA3A09" w:rsidRDefault="00B61EFC" w:rsidP="00B61EFC">
            <w:pPr>
              <w:pStyle w:val="TableCenterText"/>
              <w:jc w:val="left"/>
              <w:rPr>
                <w:rFonts w:asciiTheme="majorHAnsi" w:hAnsiTheme="majorHAnsi"/>
              </w:rPr>
            </w:pPr>
            <w:r>
              <w:rPr>
                <w:rFonts w:asciiTheme="majorHAnsi" w:hAnsiTheme="majorHAnsi"/>
              </w:rPr>
              <w:t>Total</w:t>
            </w:r>
          </w:p>
        </w:tc>
        <w:tc>
          <w:tcPr>
            <w:tcW w:w="1980" w:type="dxa"/>
          </w:tcPr>
          <w:p w14:paraId="666ACD1A" w14:textId="74C80820" w:rsidR="00B61EFC" w:rsidRPr="00FA3A09"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Franklin Gothic Medium" w:hAnsi="Franklin Gothic Medium"/>
                <w:color w:val="4A4D56"/>
              </w:rPr>
              <w:t>261</w:t>
            </w:r>
          </w:p>
        </w:tc>
        <w:tc>
          <w:tcPr>
            <w:tcW w:w="1980" w:type="dxa"/>
          </w:tcPr>
          <w:p w14:paraId="2A4B5DC0" w14:textId="6B5CC21A" w:rsidR="00B61EFC" w:rsidRPr="00FA3A09"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Franklin Gothic Medium" w:hAnsi="Franklin Gothic Medium"/>
                <w:color w:val="4A4D56"/>
              </w:rPr>
              <w:t>0</w:t>
            </w:r>
          </w:p>
        </w:tc>
        <w:tc>
          <w:tcPr>
            <w:tcW w:w="4081" w:type="dxa"/>
          </w:tcPr>
          <w:p w14:paraId="28585988" w14:textId="76BCDBFA" w:rsidR="00B61EFC" w:rsidRPr="00FA3A09"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Franklin Gothic Medium" w:hAnsi="Franklin Gothic Medium"/>
                <w:color w:val="4A4D56"/>
              </w:rPr>
              <w:t>61</w:t>
            </w:r>
          </w:p>
        </w:tc>
      </w:tr>
      <w:tr w:rsidR="00B61EFC" w14:paraId="41259F0F" w14:textId="77777777" w:rsidTr="00D211C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051" w:type="dxa"/>
            <w:gridSpan w:val="2"/>
          </w:tcPr>
          <w:p w14:paraId="03B30EB3" w14:textId="4C88ECA7" w:rsidR="00B61EFC" w:rsidRDefault="00B61EFC" w:rsidP="00B61EFC">
            <w:pPr>
              <w:pStyle w:val="TableCenterText"/>
              <w:jc w:val="left"/>
              <w:rPr>
                <w:rFonts w:asciiTheme="majorHAnsi" w:hAnsiTheme="majorHAnsi"/>
              </w:rPr>
            </w:pPr>
            <w:r>
              <w:rPr>
                <w:i/>
                <w:iCs/>
                <w:color w:val="4A4D56"/>
              </w:rPr>
              <w:t>(b-27) Non-</w:t>
            </w:r>
            <w:proofErr w:type="gramStart"/>
            <w:r>
              <w:rPr>
                <w:i/>
                <w:iCs/>
                <w:color w:val="4A4D56"/>
              </w:rPr>
              <w:t>Low Income</w:t>
            </w:r>
            <w:proofErr w:type="gramEnd"/>
            <w:r>
              <w:rPr>
                <w:i/>
                <w:iCs/>
                <w:color w:val="4A4D56"/>
              </w:rPr>
              <w:t xml:space="preserve"> Cap</w:t>
            </w:r>
          </w:p>
        </w:tc>
        <w:tc>
          <w:tcPr>
            <w:tcW w:w="1980" w:type="dxa"/>
            <w:vMerge w:val="restart"/>
            <w:shd w:val="thinDiagStripe" w:color="4A4D56" w:themeColor="text1" w:fill="auto"/>
          </w:tcPr>
          <w:p w14:paraId="07479577" w14:textId="77777777" w:rsidR="00B61EFC" w:rsidRDefault="00B61EFC" w:rsidP="00B61EF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p>
        </w:tc>
        <w:tc>
          <w:tcPr>
            <w:tcW w:w="1980" w:type="dxa"/>
          </w:tcPr>
          <w:p w14:paraId="603D9EB1" w14:textId="5C3CF719" w:rsidR="00B61EFC" w:rsidRDefault="00B61EFC" w:rsidP="00B61EF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i/>
                <w:iCs/>
                <w:color w:val="4A4D56"/>
              </w:rPr>
              <w:t>783</w:t>
            </w:r>
          </w:p>
        </w:tc>
        <w:tc>
          <w:tcPr>
            <w:tcW w:w="4081" w:type="dxa"/>
            <w:vMerge w:val="restart"/>
            <w:shd w:val="thinDiagStripe" w:color="4A4D56" w:themeColor="text1" w:fill="auto"/>
          </w:tcPr>
          <w:p w14:paraId="36FDC970" w14:textId="77777777" w:rsidR="00B61EFC" w:rsidRDefault="00B61EFC" w:rsidP="00B61EFC">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p>
        </w:tc>
      </w:tr>
      <w:tr w:rsidR="00B61EFC" w14:paraId="2237C501" w14:textId="77777777" w:rsidTr="00D211CD">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051" w:type="dxa"/>
            <w:gridSpan w:val="2"/>
          </w:tcPr>
          <w:p w14:paraId="1804671F" w14:textId="3BEB8EDF" w:rsidR="00B61EFC" w:rsidRDefault="00B61EFC" w:rsidP="00B61EFC">
            <w:pPr>
              <w:pStyle w:val="TableCenterText"/>
              <w:jc w:val="left"/>
              <w:rPr>
                <w:rFonts w:asciiTheme="majorHAnsi" w:hAnsiTheme="majorHAnsi"/>
              </w:rPr>
            </w:pPr>
            <w:r>
              <w:rPr>
                <w:i/>
                <w:iCs/>
                <w:color w:val="4A4D56"/>
              </w:rPr>
              <w:t>% of Non-</w:t>
            </w:r>
            <w:proofErr w:type="gramStart"/>
            <w:r>
              <w:rPr>
                <w:i/>
                <w:iCs/>
                <w:color w:val="4A4D56"/>
              </w:rPr>
              <w:t>Low Income</w:t>
            </w:r>
            <w:proofErr w:type="gramEnd"/>
            <w:r>
              <w:rPr>
                <w:i/>
                <w:iCs/>
                <w:color w:val="4A4D56"/>
              </w:rPr>
              <w:t xml:space="preserve"> Cap</w:t>
            </w:r>
          </w:p>
        </w:tc>
        <w:tc>
          <w:tcPr>
            <w:tcW w:w="1980" w:type="dxa"/>
            <w:vMerge/>
            <w:shd w:val="thinDiagStripe" w:color="4A4D56" w:themeColor="text1" w:fill="auto"/>
          </w:tcPr>
          <w:p w14:paraId="7BF4D4F8" w14:textId="77777777" w:rsidR="00B61E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p>
        </w:tc>
        <w:tc>
          <w:tcPr>
            <w:tcW w:w="1980" w:type="dxa"/>
          </w:tcPr>
          <w:p w14:paraId="7A9B1D95" w14:textId="1F7045DB" w:rsidR="00B61E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r>
              <w:rPr>
                <w:i/>
                <w:iCs/>
                <w:color w:val="4A4D56"/>
              </w:rPr>
              <w:t>0.0%</w:t>
            </w:r>
          </w:p>
        </w:tc>
        <w:tc>
          <w:tcPr>
            <w:tcW w:w="4081" w:type="dxa"/>
            <w:vMerge/>
            <w:shd w:val="thinDiagStripe" w:color="4A4D56" w:themeColor="text1" w:fill="auto"/>
          </w:tcPr>
          <w:p w14:paraId="2BCAE81F" w14:textId="77777777" w:rsidR="00B61E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p>
        </w:tc>
      </w:tr>
      <w:tr w:rsidR="00D211CD" w14:paraId="720A1E0B" w14:textId="77777777" w:rsidTr="00356BE0">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051" w:type="dxa"/>
            <w:gridSpan w:val="2"/>
          </w:tcPr>
          <w:p w14:paraId="6DB22248" w14:textId="56D4D06F" w:rsidR="00D211CD" w:rsidRDefault="00D211CD" w:rsidP="00D211CD">
            <w:pPr>
              <w:pStyle w:val="TableCenterText"/>
              <w:jc w:val="left"/>
              <w:rPr>
                <w:rFonts w:asciiTheme="majorHAnsi" w:hAnsiTheme="majorHAnsi"/>
              </w:rPr>
            </w:pPr>
            <w:r>
              <w:rPr>
                <w:i/>
                <w:iCs/>
                <w:color w:val="4A4D56"/>
              </w:rPr>
              <w:t>Overall (b-27 Cap)</w:t>
            </w:r>
          </w:p>
        </w:tc>
        <w:tc>
          <w:tcPr>
            <w:tcW w:w="3960" w:type="dxa"/>
            <w:gridSpan w:val="2"/>
          </w:tcPr>
          <w:p w14:paraId="7D2D49AE" w14:textId="152D1D40" w:rsidR="00D211CD" w:rsidRPr="00B61EFC" w:rsidRDefault="00B61EFC" w:rsidP="00B61EFC">
            <w:pPr>
              <w:jc w:val="center"/>
              <w:cnfStyle w:val="000000100000" w:firstRow="0" w:lastRow="0" w:firstColumn="0" w:lastColumn="0" w:oddVBand="0" w:evenVBand="0" w:oddHBand="1" w:evenHBand="0" w:firstRowFirstColumn="0" w:firstRowLastColumn="0" w:lastRowFirstColumn="0" w:lastRowLastColumn="0"/>
              <w:rPr>
                <w:i/>
                <w:iCs/>
                <w:color w:val="4A4D56"/>
                <w:sz w:val="20"/>
              </w:rPr>
            </w:pPr>
            <w:r>
              <w:rPr>
                <w:i/>
                <w:iCs/>
                <w:color w:val="4A4D56"/>
                <w:sz w:val="20"/>
              </w:rPr>
              <w:t>21,214</w:t>
            </w:r>
          </w:p>
        </w:tc>
        <w:tc>
          <w:tcPr>
            <w:tcW w:w="4081" w:type="dxa"/>
            <w:vMerge/>
            <w:shd w:val="thinDiagStripe" w:color="4A4D56" w:themeColor="text1" w:fill="auto"/>
          </w:tcPr>
          <w:p w14:paraId="4D708E26" w14:textId="77777777" w:rsidR="00D211CD" w:rsidRDefault="00D211CD" w:rsidP="00D211C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p>
        </w:tc>
      </w:tr>
      <w:tr w:rsidR="00D211CD" w14:paraId="627809D1" w14:textId="77777777" w:rsidTr="007D285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051" w:type="dxa"/>
            <w:gridSpan w:val="2"/>
          </w:tcPr>
          <w:p w14:paraId="193CEDAE" w14:textId="3D4D20D8" w:rsidR="00D211CD" w:rsidRDefault="00D211CD" w:rsidP="00D211CD">
            <w:pPr>
              <w:pStyle w:val="TableCenterText"/>
              <w:jc w:val="left"/>
              <w:rPr>
                <w:rFonts w:asciiTheme="majorHAnsi" w:hAnsiTheme="majorHAnsi"/>
              </w:rPr>
            </w:pPr>
            <w:r>
              <w:rPr>
                <w:i/>
                <w:iCs/>
                <w:color w:val="4A4D56"/>
              </w:rPr>
              <w:t>% of Overall Cap</w:t>
            </w:r>
          </w:p>
        </w:tc>
        <w:tc>
          <w:tcPr>
            <w:tcW w:w="3960" w:type="dxa"/>
            <w:gridSpan w:val="2"/>
          </w:tcPr>
          <w:p w14:paraId="578A3EF4" w14:textId="7F396D27" w:rsidR="00D211CD" w:rsidRPr="00D211CD" w:rsidRDefault="00D211CD" w:rsidP="00D211CD">
            <w:pPr>
              <w:pStyle w:val="TableCenterText"/>
              <w:cnfStyle w:val="000000010000" w:firstRow="0" w:lastRow="0" w:firstColumn="0" w:lastColumn="0" w:oddVBand="0" w:evenVBand="0" w:oddHBand="0" w:evenHBand="1" w:firstRowFirstColumn="0" w:firstRowLastColumn="0" w:lastRowFirstColumn="0" w:lastRowLastColumn="0"/>
              <w:rPr>
                <w:rFonts w:asciiTheme="minorHAnsi" w:hAnsiTheme="minorHAnsi"/>
                <w:i/>
                <w:iCs/>
                <w:color w:val="4A4D56"/>
              </w:rPr>
            </w:pPr>
            <w:r w:rsidRPr="00D211CD">
              <w:rPr>
                <w:rFonts w:asciiTheme="minorHAnsi" w:hAnsiTheme="minorHAnsi"/>
                <w:i/>
                <w:iCs/>
                <w:color w:val="4A4D56"/>
              </w:rPr>
              <w:t>1.2%</w:t>
            </w:r>
          </w:p>
        </w:tc>
        <w:tc>
          <w:tcPr>
            <w:tcW w:w="4081" w:type="dxa"/>
            <w:vMerge/>
            <w:shd w:val="thinDiagStripe" w:color="4A4D56" w:themeColor="text1" w:fill="auto"/>
          </w:tcPr>
          <w:p w14:paraId="6D9E06CE" w14:textId="77777777" w:rsidR="00D211CD" w:rsidRDefault="00D211CD" w:rsidP="00D211C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p>
        </w:tc>
      </w:tr>
    </w:tbl>
    <w:p w14:paraId="149FD631" w14:textId="3505C1A5" w:rsidR="00D211CD" w:rsidRPr="00B61EFC" w:rsidRDefault="00D211CD" w:rsidP="00D211CD">
      <w:pPr>
        <w:spacing w:before="100" w:beforeAutospacing="1"/>
      </w:pPr>
      <w:r>
        <w:t xml:space="preserve">AIC achieved </w:t>
      </w:r>
      <w:r w:rsidR="00B61EFC">
        <w:t>261 MWh</w:t>
      </w:r>
      <w:r>
        <w:t xml:space="preserve"> of </w:t>
      </w:r>
      <w:r w:rsidR="00B61EFC">
        <w:t xml:space="preserve">(b-27) </w:t>
      </w:r>
      <w:r>
        <w:t xml:space="preserve">savings in 2024, all of which </w:t>
      </w:r>
      <w:r w:rsidR="00B61EFC">
        <w:t xml:space="preserve">were in </w:t>
      </w:r>
      <w:proofErr w:type="gramStart"/>
      <w:r w:rsidR="00B61EFC">
        <w:t>low income</w:t>
      </w:r>
      <w:proofErr w:type="gramEnd"/>
      <w:r w:rsidR="00B61EFC">
        <w:t xml:space="preserve"> housing. This was substantially less than the subsection (b-27) cap of 21,214 MWh and therefore AIC </w:t>
      </w:r>
      <w:proofErr w:type="gramStart"/>
      <w:r w:rsidR="00B61EFC">
        <w:t>is able to</w:t>
      </w:r>
      <w:proofErr w:type="gramEnd"/>
      <w:r w:rsidR="00B61EFC">
        <w:t xml:space="preserve"> count all of these savings towards it AAIG. In addition, AIC achieved 61 MWh of Policy Manual Section 12.3 savings in 2024; these savings are uncapped and counted toward AAIG. All electrification savings are presented as claimed toward goals in the </w:t>
      </w:r>
      <w:r w:rsidR="00B61EFC" w:rsidRPr="000512F3">
        <w:rPr>
          <w:i/>
          <w:iCs/>
        </w:rPr>
        <w:t>2024 AIC Residential Program Impact Evaluation Report</w:t>
      </w:r>
      <w:r w:rsidR="00B61EFC">
        <w:rPr>
          <w:i/>
          <w:iCs/>
        </w:rPr>
        <w:t xml:space="preserve"> </w:t>
      </w:r>
      <w:r w:rsidR="00B61EFC">
        <w:t xml:space="preserve">and in Section </w:t>
      </w:r>
      <w:r w:rsidR="00B61EFC">
        <w:fldChar w:fldCharType="begin"/>
      </w:r>
      <w:r w:rsidR="00B61EFC">
        <w:instrText xml:space="preserve"> REF _Ref192773908 \r \h </w:instrText>
      </w:r>
      <w:r w:rsidR="00B61EFC">
        <w:fldChar w:fldCharType="separate"/>
      </w:r>
      <w:r w:rsidR="00F8548D">
        <w:t>3.1</w:t>
      </w:r>
      <w:r w:rsidR="00B61EFC">
        <w:fldChar w:fldCharType="end"/>
      </w:r>
      <w:r w:rsidR="00B61EFC">
        <w:t xml:space="preserve"> above. T</w:t>
      </w:r>
      <w:r w:rsidR="00B61EFC">
        <w:t xml:space="preserve">he </w:t>
      </w:r>
      <w:r w:rsidR="00B61EFC" w:rsidRPr="000512F3">
        <w:rPr>
          <w:i/>
          <w:iCs/>
        </w:rPr>
        <w:t>2024 AIC Residential Program Impact Evaluation Report</w:t>
      </w:r>
      <w:r w:rsidR="00B61EFC">
        <w:rPr>
          <w:i/>
          <w:iCs/>
        </w:rPr>
        <w:t xml:space="preserve"> </w:t>
      </w:r>
      <w:r w:rsidR="00B61EFC">
        <w:t>also presents the at-the-meter impacts of these programmatic efforts in Appendix B.</w:t>
      </w:r>
    </w:p>
    <w:p w14:paraId="43236F1C" w14:textId="77777777" w:rsidR="005C27B9" w:rsidRDefault="005C27B9" w:rsidP="005C27B9">
      <w:pPr>
        <w:pStyle w:val="Heading1"/>
      </w:pPr>
      <w:bookmarkStart w:id="85" w:name="_Toc165365706"/>
      <w:bookmarkStart w:id="86" w:name="_Toc192774870"/>
      <w:r>
        <w:lastRenderedPageBreak/>
        <w:t>Portfolio Economic and Employment Impacts</w:t>
      </w:r>
      <w:bookmarkEnd w:id="85"/>
      <w:bookmarkEnd w:id="86"/>
    </w:p>
    <w:p w14:paraId="416A59EA" w14:textId="4B457C98" w:rsidR="005C27B9" w:rsidRDefault="005C27B9" w:rsidP="005C27B9">
      <w:r>
        <w:t>The Illinois Energy Efficiency Policy Manual (“the Policy Manual”) Version 3.0 requires that each program administrator in Illinois annually report estimates of the economic development and employment impacts of its energy efficiency programs.</w:t>
      </w:r>
      <w:r>
        <w:rPr>
          <w:rStyle w:val="FootnoteReference"/>
        </w:rPr>
        <w:footnoteReference w:id="20"/>
      </w:r>
      <w:r>
        <w:t xml:space="preserve"> In accordance with that requirement, this section includes a summary of the economic and employment impacts produced by AIC's energy efficiency portfolio in 2024, as well as the inputs used to estimate these results.</w:t>
      </w:r>
    </w:p>
    <w:p w14:paraId="2808508F" w14:textId="77777777" w:rsidR="005C27B9" w:rsidRDefault="005C27B9" w:rsidP="005C27B9">
      <w:r>
        <w:t>The methodology used in this analysis is consistent with that developed by consensus with the Illinois Stakeholder Advisory Group Non-Energy Impacts Working Group and used in previous analyses.</w:t>
      </w:r>
    </w:p>
    <w:p w14:paraId="62073CAA" w14:textId="6BB275C1" w:rsidR="005C27B9" w:rsidRDefault="005C27B9" w:rsidP="005C27B9">
      <w:r>
        <w:fldChar w:fldCharType="begin"/>
      </w:r>
      <w:r>
        <w:instrText xml:space="preserve"> REF _Ref161232525 \h </w:instrText>
      </w:r>
      <w:r>
        <w:fldChar w:fldCharType="separate"/>
      </w:r>
      <w:r w:rsidR="00F8548D">
        <w:t xml:space="preserve">Table </w:t>
      </w:r>
      <w:r w:rsidR="00F8548D">
        <w:rPr>
          <w:noProof/>
        </w:rPr>
        <w:t>16</w:t>
      </w:r>
      <w:r>
        <w:fldChar w:fldCharType="end"/>
      </w:r>
      <w:r>
        <w:t xml:space="preserve"> presents the cumulative economic and employment impacts resulting from AIC's 2024 energy efficiency programs. Further analytical details are available on request.</w:t>
      </w:r>
    </w:p>
    <w:p w14:paraId="4AAF20DF" w14:textId="745935E6" w:rsidR="005C27B9" w:rsidRDefault="005C27B9" w:rsidP="005C27B9">
      <w:pPr>
        <w:pStyle w:val="Caption"/>
      </w:pPr>
      <w:bookmarkStart w:id="87" w:name="_Ref161232525"/>
      <w:bookmarkStart w:id="88" w:name="_Toc192774890"/>
      <w:commentRangeStart w:id="89"/>
      <w:r>
        <w:t xml:space="preserve">Table </w:t>
      </w:r>
      <w:r>
        <w:fldChar w:fldCharType="begin"/>
      </w:r>
      <w:r>
        <w:instrText xml:space="preserve"> SEQ Table \* ARABIC </w:instrText>
      </w:r>
      <w:r>
        <w:fldChar w:fldCharType="separate"/>
      </w:r>
      <w:r w:rsidR="00F8548D">
        <w:rPr>
          <w:noProof/>
        </w:rPr>
        <w:t>16</w:t>
      </w:r>
      <w:r>
        <w:rPr>
          <w:noProof/>
        </w:rPr>
        <w:fldChar w:fldCharType="end"/>
      </w:r>
      <w:bookmarkEnd w:id="87"/>
      <w:r>
        <w:t>. 2024 AIC Portfolio Job and Macroeconomic Impacts</w:t>
      </w:r>
      <w:commentRangeEnd w:id="89"/>
      <w:r w:rsidR="00B61EFC">
        <w:rPr>
          <w:rStyle w:val="CommentReference"/>
          <w:bCs w:val="0"/>
        </w:rPr>
        <w:commentReference w:id="89"/>
      </w:r>
      <w:bookmarkEnd w:id="88"/>
    </w:p>
    <w:tbl>
      <w:tblPr>
        <w:tblStyle w:val="ODCBasic-1"/>
        <w:tblW w:w="0" w:type="auto"/>
        <w:tblLayout w:type="fixed"/>
        <w:tblCellMar>
          <w:top w:w="0" w:type="dxa"/>
          <w:bottom w:w="14" w:type="dxa"/>
        </w:tblCellMar>
        <w:tblLook w:val="04A0" w:firstRow="1" w:lastRow="0" w:firstColumn="1" w:lastColumn="0" w:noHBand="0" w:noVBand="1"/>
      </w:tblPr>
      <w:tblGrid>
        <w:gridCol w:w="2836"/>
        <w:gridCol w:w="1644"/>
        <w:gridCol w:w="1644"/>
        <w:gridCol w:w="1644"/>
        <w:gridCol w:w="1644"/>
      </w:tblGrid>
      <w:tr w:rsidR="005C27B9" w14:paraId="437730D0" w14:textId="77777777" w:rsidTr="002C7F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4A4D56" w:themeColor="text1"/>
              <w:right w:val="single" w:sz="4" w:space="0" w:color="4A4D56" w:themeColor="text1"/>
            </w:tcBorders>
          </w:tcPr>
          <w:p w14:paraId="3B8CE00E" w14:textId="77777777" w:rsidR="005C27B9" w:rsidRPr="00625570" w:rsidRDefault="005C27B9" w:rsidP="002C7F49">
            <w:pPr>
              <w:pStyle w:val="TableHeadingLeft"/>
            </w:pPr>
            <w:r>
              <w:t>Impact Category</w:t>
            </w:r>
          </w:p>
        </w:tc>
        <w:tc>
          <w:tcPr>
            <w:tcW w:w="1644" w:type="dxa"/>
            <w:tcBorders>
              <w:left w:val="single" w:sz="4" w:space="0" w:color="4A4D56" w:themeColor="text1"/>
              <w:bottom w:val="single" w:sz="4" w:space="0" w:color="4A4D56" w:themeColor="text1"/>
              <w:right w:val="single" w:sz="4" w:space="0" w:color="4A4D56" w:themeColor="text1"/>
            </w:tcBorders>
          </w:tcPr>
          <w:p w14:paraId="267C5925"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Direct</w:t>
            </w:r>
          </w:p>
        </w:tc>
        <w:tc>
          <w:tcPr>
            <w:tcW w:w="1644" w:type="dxa"/>
            <w:tcBorders>
              <w:left w:val="single" w:sz="4" w:space="0" w:color="4A4D56" w:themeColor="text1"/>
              <w:bottom w:val="single" w:sz="4" w:space="0" w:color="4A4D56" w:themeColor="text1"/>
              <w:right w:val="single" w:sz="4" w:space="0" w:color="4A4D56" w:themeColor="text1"/>
            </w:tcBorders>
          </w:tcPr>
          <w:p w14:paraId="0B74B50A"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Indirect</w:t>
            </w:r>
          </w:p>
        </w:tc>
        <w:tc>
          <w:tcPr>
            <w:tcW w:w="1644" w:type="dxa"/>
            <w:tcBorders>
              <w:left w:val="single" w:sz="4" w:space="0" w:color="4A4D56" w:themeColor="text1"/>
              <w:bottom w:val="single" w:sz="4" w:space="0" w:color="4A4D56" w:themeColor="text1"/>
              <w:right w:val="single" w:sz="4" w:space="0" w:color="4A4D56" w:themeColor="text1"/>
            </w:tcBorders>
          </w:tcPr>
          <w:p w14:paraId="1751F6E2"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Induced</w:t>
            </w:r>
          </w:p>
        </w:tc>
        <w:tc>
          <w:tcPr>
            <w:tcW w:w="1644" w:type="dxa"/>
            <w:tcBorders>
              <w:left w:val="single" w:sz="4" w:space="0" w:color="4A4D56" w:themeColor="text1"/>
              <w:bottom w:val="single" w:sz="4" w:space="0" w:color="4A4D56" w:themeColor="text1"/>
              <w:right w:val="single" w:sz="4" w:space="0" w:color="4A4D56" w:themeColor="text1"/>
            </w:tcBorders>
          </w:tcPr>
          <w:p w14:paraId="3E79030F" w14:textId="77777777" w:rsidR="005C27B9" w:rsidRPr="00625570" w:rsidRDefault="005C27B9" w:rsidP="002C7F49">
            <w:pPr>
              <w:pStyle w:val="TableHeadingCentered"/>
              <w:cnfStyle w:val="100000000000" w:firstRow="1" w:lastRow="0" w:firstColumn="0" w:lastColumn="0" w:oddVBand="0" w:evenVBand="0" w:oddHBand="0" w:evenHBand="0" w:firstRowFirstColumn="0" w:firstRowLastColumn="0" w:lastRowFirstColumn="0" w:lastRowLastColumn="0"/>
            </w:pPr>
            <w:r>
              <w:t>Total</w:t>
            </w:r>
          </w:p>
        </w:tc>
      </w:tr>
      <w:tr w:rsidR="005C27B9" w14:paraId="05B620A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4A4D56" w:themeColor="text1"/>
            </w:tcBorders>
          </w:tcPr>
          <w:p w14:paraId="4E9877A6" w14:textId="77777777" w:rsidR="005C27B9" w:rsidRPr="00625570" w:rsidRDefault="005C27B9" w:rsidP="002C7F49">
            <w:pPr>
              <w:pStyle w:val="TableLeftText"/>
            </w:pPr>
            <w:r>
              <w:t>Industry Output</w:t>
            </w:r>
          </w:p>
        </w:tc>
        <w:tc>
          <w:tcPr>
            <w:tcW w:w="1644" w:type="dxa"/>
            <w:tcBorders>
              <w:top w:val="single" w:sz="4" w:space="0" w:color="4A4D56" w:themeColor="text1"/>
            </w:tcBorders>
          </w:tcPr>
          <w:p w14:paraId="4A32FE36" w14:textId="3715BFFE"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Borders>
              <w:top w:val="single" w:sz="4" w:space="0" w:color="4A4D56" w:themeColor="text1"/>
            </w:tcBorders>
          </w:tcPr>
          <w:p w14:paraId="214F2E78" w14:textId="0F652A55"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Borders>
              <w:top w:val="single" w:sz="4" w:space="0" w:color="4A4D56" w:themeColor="text1"/>
            </w:tcBorders>
          </w:tcPr>
          <w:p w14:paraId="75B664B1" w14:textId="538AD048"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Borders>
              <w:top w:val="single" w:sz="4" w:space="0" w:color="4A4D56" w:themeColor="text1"/>
            </w:tcBorders>
          </w:tcPr>
          <w:p w14:paraId="7141D5DB" w14:textId="4B569479" w:rsidR="005C27B9" w:rsidRPr="0099426F"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r>
      <w:tr w:rsidR="005C27B9" w14:paraId="75F40AD0"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370E93E2" w14:textId="77777777" w:rsidR="005C27B9" w:rsidRPr="00625570" w:rsidRDefault="005C27B9" w:rsidP="002C7F49">
            <w:pPr>
              <w:pStyle w:val="TableLeftText"/>
            </w:pPr>
            <w:r>
              <w:t>Employment (Job-Years)</w:t>
            </w:r>
          </w:p>
        </w:tc>
        <w:tc>
          <w:tcPr>
            <w:tcW w:w="1644" w:type="dxa"/>
          </w:tcPr>
          <w:p w14:paraId="454C254F" w14:textId="0B06A527" w:rsidR="005C27B9" w:rsidRPr="000B7901" w:rsidRDefault="005C27B9" w:rsidP="002C7F49">
            <w:pPr>
              <w:pStyle w:val="TableCenterText"/>
              <w:jc w:val="right"/>
              <w:cnfStyle w:val="000000010000" w:firstRow="0" w:lastRow="0" w:firstColumn="0" w:lastColumn="0" w:oddVBand="0" w:evenVBand="0" w:oddHBand="0" w:evenHBand="1" w:firstRowFirstColumn="0" w:firstRowLastColumn="0" w:lastRowFirstColumn="0" w:lastRowLastColumn="0"/>
            </w:pPr>
          </w:p>
        </w:tc>
        <w:tc>
          <w:tcPr>
            <w:tcW w:w="1644" w:type="dxa"/>
          </w:tcPr>
          <w:p w14:paraId="15402A3C" w14:textId="7A32D447" w:rsidR="005C27B9" w:rsidRPr="000B7901" w:rsidRDefault="005C27B9" w:rsidP="002C7F49">
            <w:pPr>
              <w:pStyle w:val="TableCenterText"/>
              <w:jc w:val="right"/>
              <w:cnfStyle w:val="000000010000" w:firstRow="0" w:lastRow="0" w:firstColumn="0" w:lastColumn="0" w:oddVBand="0" w:evenVBand="0" w:oddHBand="0" w:evenHBand="1" w:firstRowFirstColumn="0" w:firstRowLastColumn="0" w:lastRowFirstColumn="0" w:lastRowLastColumn="0"/>
            </w:pPr>
          </w:p>
        </w:tc>
        <w:tc>
          <w:tcPr>
            <w:tcW w:w="1644" w:type="dxa"/>
          </w:tcPr>
          <w:p w14:paraId="59A0EDCD" w14:textId="597F0D6C" w:rsidR="005C27B9" w:rsidRPr="000B7901" w:rsidRDefault="005C27B9" w:rsidP="002C7F49">
            <w:pPr>
              <w:pStyle w:val="TableCenterText"/>
              <w:jc w:val="right"/>
              <w:cnfStyle w:val="000000010000" w:firstRow="0" w:lastRow="0" w:firstColumn="0" w:lastColumn="0" w:oddVBand="0" w:evenVBand="0" w:oddHBand="0" w:evenHBand="1" w:firstRowFirstColumn="0" w:firstRowLastColumn="0" w:lastRowFirstColumn="0" w:lastRowLastColumn="0"/>
            </w:pPr>
          </w:p>
        </w:tc>
        <w:tc>
          <w:tcPr>
            <w:tcW w:w="1644" w:type="dxa"/>
          </w:tcPr>
          <w:p w14:paraId="0DCFBF8C" w14:textId="58734731" w:rsidR="005C27B9" w:rsidRPr="0099426F" w:rsidRDefault="005C27B9" w:rsidP="002C7F49">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r>
      <w:tr w:rsidR="005C27B9" w14:paraId="3B002393"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836" w:type="dxa"/>
          </w:tcPr>
          <w:p w14:paraId="2E4FCD2B" w14:textId="77777777" w:rsidR="005C27B9" w:rsidRPr="00625570" w:rsidRDefault="005C27B9" w:rsidP="002C7F49">
            <w:pPr>
              <w:pStyle w:val="TableLeftText"/>
            </w:pPr>
            <w:r>
              <w:t>Labor Income</w:t>
            </w:r>
          </w:p>
        </w:tc>
        <w:tc>
          <w:tcPr>
            <w:tcW w:w="1644" w:type="dxa"/>
          </w:tcPr>
          <w:p w14:paraId="467EAAFC" w14:textId="3D276710"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Pr>
          <w:p w14:paraId="04726084" w14:textId="1CAD3DC5"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Pr>
          <w:p w14:paraId="32ED48B3" w14:textId="5BE5DF1D" w:rsidR="005C27B9" w:rsidRPr="000B7901"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pPr>
          </w:p>
        </w:tc>
        <w:tc>
          <w:tcPr>
            <w:tcW w:w="1644" w:type="dxa"/>
          </w:tcPr>
          <w:p w14:paraId="540ABCF7" w14:textId="18FA784D" w:rsidR="005C27B9" w:rsidRPr="0099426F" w:rsidRDefault="005C27B9"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r>
    </w:tbl>
    <w:p w14:paraId="0F61A20F" w14:textId="77777777" w:rsidR="005C27B9" w:rsidRDefault="005C27B9" w:rsidP="005C27B9">
      <w:pPr>
        <w:sectPr w:rsidR="005C27B9" w:rsidSect="005C27B9">
          <w:footerReference w:type="default" r:id="rId24"/>
          <w:pgSz w:w="12240" w:h="15840" w:code="1"/>
          <w:pgMar w:top="567" w:right="567" w:bottom="567" w:left="567" w:header="567" w:footer="340" w:gutter="0"/>
          <w:cols w:space="708"/>
          <w:docGrid w:linePitch="360"/>
        </w:sectPr>
      </w:pPr>
    </w:p>
    <w:p w14:paraId="74EF515B" w14:textId="1D3DAA26" w:rsidR="00067DBC" w:rsidRDefault="00067DBC" w:rsidP="00067DBC">
      <w:pPr>
        <w:pStyle w:val="Alpha"/>
      </w:pPr>
      <w:bookmarkStart w:id="90" w:name="_Toc192774871"/>
      <w:commentRangeStart w:id="91"/>
      <w:r>
        <w:lastRenderedPageBreak/>
        <w:t>2024 Detailed Verified Savings Results</w:t>
      </w:r>
      <w:commentRangeEnd w:id="91"/>
      <w:r w:rsidR="00B61EFC">
        <w:rPr>
          <w:rStyle w:val="CommentReference"/>
          <w:rFonts w:ascii="Franklin Gothic Book" w:hAnsi="Franklin Gothic Book"/>
          <w:color w:val="4A4D56" w:themeColor="text1"/>
        </w:rPr>
        <w:commentReference w:id="91"/>
      </w:r>
      <w:bookmarkEnd w:id="90"/>
    </w:p>
    <w:p w14:paraId="43326186" w14:textId="6F2C7E46" w:rsidR="00067DBC" w:rsidRDefault="00067DBC" w:rsidP="00067DBC">
      <w:r>
        <w:t>'</w:t>
      </w:r>
      <w:r>
        <w:fldChar w:fldCharType="begin"/>
      </w:r>
      <w:r>
        <w:instrText xml:space="preserve"> REF _Ref161323603 \h </w:instrText>
      </w:r>
      <w:r>
        <w:fldChar w:fldCharType="separate"/>
      </w:r>
      <w:r w:rsidR="00F8548D">
        <w:t xml:space="preserve">Table </w:t>
      </w:r>
      <w:r w:rsidR="00F8548D">
        <w:rPr>
          <w:noProof/>
        </w:rPr>
        <w:t>17</w:t>
      </w:r>
      <w:r>
        <w:fldChar w:fldCharType="end"/>
      </w:r>
      <w:r>
        <w:t xml:space="preserve"> and </w:t>
      </w:r>
      <w:r>
        <w:fldChar w:fldCharType="begin"/>
      </w:r>
      <w:r>
        <w:instrText xml:space="preserve"> REF _Ref191841224 \h </w:instrText>
      </w:r>
      <w:r>
        <w:fldChar w:fldCharType="separate"/>
      </w:r>
      <w:r w:rsidR="00F8548D">
        <w:t xml:space="preserve">Table </w:t>
      </w:r>
      <w:r w:rsidR="00F8548D">
        <w:rPr>
          <w:noProof/>
        </w:rPr>
        <w:t>18</w:t>
      </w:r>
      <w:r>
        <w:fldChar w:fldCharType="end"/>
      </w:r>
      <w:r>
        <w:t xml:space="preserve"> present the detailed verified savings results tables for the 2024 AIC portfolio.</w:t>
      </w:r>
    </w:p>
    <w:p w14:paraId="7ED433C2" w14:textId="4DF03040" w:rsidR="00067DBC" w:rsidRDefault="00067DBC" w:rsidP="00067DBC">
      <w:pPr>
        <w:pStyle w:val="Caption"/>
      </w:pPr>
      <w:bookmarkStart w:id="92" w:name="_Ref161323603"/>
      <w:bookmarkStart w:id="93" w:name="_Toc192774891"/>
      <w:r>
        <w:t xml:space="preserve">Table </w:t>
      </w:r>
      <w:r>
        <w:fldChar w:fldCharType="begin"/>
      </w:r>
      <w:r>
        <w:instrText xml:space="preserve"> SEQ Table \* ARABIC </w:instrText>
      </w:r>
      <w:r>
        <w:fldChar w:fldCharType="separate"/>
      </w:r>
      <w:r w:rsidR="00F8548D">
        <w:rPr>
          <w:noProof/>
        </w:rPr>
        <w:t>17</w:t>
      </w:r>
      <w:r>
        <w:fldChar w:fldCharType="end"/>
      </w:r>
      <w:bookmarkEnd w:id="92"/>
      <w:r>
        <w:t>. 2024 Detailed Verified Savings Results – Electric</w:t>
      </w:r>
      <w:bookmarkEnd w:id="93"/>
    </w:p>
    <w:tbl>
      <w:tblPr>
        <w:tblStyle w:val="ODCBasic-1"/>
        <w:tblW w:w="0" w:type="auto"/>
        <w:tblLayout w:type="fixed"/>
        <w:tblCellMar>
          <w:top w:w="0" w:type="dxa"/>
        </w:tblCellMar>
        <w:tblLook w:val="04A0" w:firstRow="1" w:lastRow="0" w:firstColumn="1" w:lastColumn="0" w:noHBand="0" w:noVBand="1"/>
      </w:tblPr>
      <w:tblGrid>
        <w:gridCol w:w="2155"/>
        <w:gridCol w:w="2430"/>
        <w:gridCol w:w="1260"/>
        <w:gridCol w:w="1440"/>
        <w:gridCol w:w="1260"/>
        <w:gridCol w:w="1260"/>
        <w:gridCol w:w="990"/>
        <w:gridCol w:w="810"/>
        <w:gridCol w:w="900"/>
        <w:gridCol w:w="1260"/>
        <w:gridCol w:w="990"/>
        <w:gridCol w:w="1350"/>
        <w:gridCol w:w="1260"/>
        <w:gridCol w:w="1620"/>
        <w:gridCol w:w="1080"/>
        <w:gridCol w:w="990"/>
        <w:gridCol w:w="1620"/>
        <w:gridCol w:w="661"/>
      </w:tblGrid>
      <w:tr w:rsidR="00067DBC" w:rsidRPr="006629DB" w14:paraId="40CCEB42" w14:textId="77777777" w:rsidTr="002C7F49">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72B54" w:themeFill="accent1"/>
          </w:tcPr>
          <w:p w14:paraId="2DD290C4" w14:textId="77777777" w:rsidR="00067DBC" w:rsidRPr="000564FC" w:rsidRDefault="00067DBC" w:rsidP="002C7F49">
            <w:pPr>
              <w:pStyle w:val="TableHeadingLeft"/>
              <w:rPr>
                <w:sz w:val="18"/>
                <w:szCs w:val="18"/>
              </w:rPr>
            </w:pPr>
            <w:r w:rsidRPr="000564FC">
              <w:rPr>
                <w:sz w:val="18"/>
                <w:szCs w:val="18"/>
              </w:rPr>
              <w:t>Initiative</w:t>
            </w:r>
          </w:p>
        </w:tc>
        <w:tc>
          <w:tcPr>
            <w:tcW w:w="2430" w:type="dxa"/>
            <w:vMerge w:val="restart"/>
            <w:tcBorders>
              <w:left w:val="single" w:sz="4" w:space="0" w:color="4D4D4F"/>
              <w:bottom w:val="single" w:sz="4" w:space="0" w:color="4D4D4F"/>
              <w:right w:val="single" w:sz="4" w:space="0" w:color="4D4D4F"/>
            </w:tcBorders>
            <w:shd w:val="clear" w:color="auto" w:fill="172B54" w:themeFill="accent1"/>
          </w:tcPr>
          <w:p w14:paraId="02086947" w14:textId="77777777" w:rsidR="00067DBC" w:rsidRPr="000564FC" w:rsidRDefault="00067DBC" w:rsidP="002C7F49">
            <w:pPr>
              <w:pStyle w:val="TableHeadingLeft"/>
              <w:jc w:val="center"/>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Channel</w:t>
            </w:r>
          </w:p>
        </w:tc>
        <w:tc>
          <w:tcPr>
            <w:tcW w:w="1260" w:type="dxa"/>
            <w:tcBorders>
              <w:left w:val="single" w:sz="4" w:space="0" w:color="4D4D4F"/>
              <w:bottom w:val="single" w:sz="4" w:space="0" w:color="4D4D4F"/>
              <w:right w:val="single" w:sz="4" w:space="0" w:color="4D4D4F"/>
            </w:tcBorders>
          </w:tcPr>
          <w:p w14:paraId="17BB7381"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Ex Ante Gross</w:t>
            </w:r>
          </w:p>
        </w:tc>
        <w:tc>
          <w:tcPr>
            <w:tcW w:w="1440" w:type="dxa"/>
            <w:tcBorders>
              <w:left w:val="single" w:sz="4" w:space="0" w:color="4D4D4F"/>
              <w:bottom w:val="single" w:sz="4" w:space="0" w:color="4D4D4F"/>
              <w:right w:val="single" w:sz="4" w:space="0" w:color="4D4D4F"/>
            </w:tcBorders>
            <w:shd w:val="clear" w:color="auto" w:fill="265EAC" w:themeFill="accent2"/>
          </w:tcPr>
          <w:p w14:paraId="0D4AE3E0"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Realization Rate</w:t>
            </w:r>
          </w:p>
        </w:tc>
        <w:tc>
          <w:tcPr>
            <w:tcW w:w="3510" w:type="dxa"/>
            <w:gridSpan w:val="3"/>
            <w:tcBorders>
              <w:left w:val="single" w:sz="4" w:space="0" w:color="4D4D4F"/>
              <w:bottom w:val="single" w:sz="4" w:space="0" w:color="4D4D4F"/>
              <w:right w:val="single" w:sz="4" w:space="0" w:color="4D4D4F"/>
            </w:tcBorders>
            <w:shd w:val="clear" w:color="auto" w:fill="265EAC" w:themeFill="accent2"/>
          </w:tcPr>
          <w:p w14:paraId="0D14C1D9"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Verified Gross</w:t>
            </w:r>
          </w:p>
        </w:tc>
        <w:tc>
          <w:tcPr>
            <w:tcW w:w="810" w:type="dxa"/>
            <w:tcBorders>
              <w:left w:val="single" w:sz="4" w:space="0" w:color="4D4D4F"/>
              <w:bottom w:val="single" w:sz="4" w:space="0" w:color="4D4D4F"/>
              <w:right w:val="single" w:sz="4" w:space="0" w:color="4D4D4F"/>
            </w:tcBorders>
            <w:shd w:val="clear" w:color="auto" w:fill="1FA9E1" w:themeFill="accent3"/>
          </w:tcPr>
          <w:p w14:paraId="705D6185"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Deemed/ Used</w:t>
            </w:r>
          </w:p>
        </w:tc>
        <w:tc>
          <w:tcPr>
            <w:tcW w:w="5760" w:type="dxa"/>
            <w:gridSpan w:val="5"/>
            <w:tcBorders>
              <w:left w:val="single" w:sz="4" w:space="0" w:color="4D4D4F"/>
              <w:bottom w:val="single" w:sz="4" w:space="0" w:color="4D4D4F"/>
              <w:right w:val="single" w:sz="4" w:space="0" w:color="4D4D4F"/>
            </w:tcBorders>
            <w:shd w:val="clear" w:color="auto" w:fill="1FA9E1" w:themeFill="accent3"/>
          </w:tcPr>
          <w:p w14:paraId="4973144A"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Verified Net</w:t>
            </w:r>
          </w:p>
        </w:tc>
        <w:tc>
          <w:tcPr>
            <w:tcW w:w="1620" w:type="dxa"/>
            <w:tcBorders>
              <w:left w:val="single" w:sz="4" w:space="0" w:color="4D4D4F"/>
              <w:bottom w:val="single" w:sz="4" w:space="0" w:color="4D4D4F"/>
              <w:right w:val="single" w:sz="4" w:space="0" w:color="4D4D4F"/>
            </w:tcBorders>
            <w:shd w:val="clear" w:color="auto" w:fill="7E83C0" w:themeFill="accent4"/>
          </w:tcPr>
          <w:p w14:paraId="5EDE4727"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Actual</w:t>
            </w:r>
          </w:p>
        </w:tc>
        <w:tc>
          <w:tcPr>
            <w:tcW w:w="1080" w:type="dxa"/>
            <w:tcBorders>
              <w:left w:val="single" w:sz="4" w:space="0" w:color="4D4D4F"/>
              <w:bottom w:val="single" w:sz="4" w:space="0" w:color="4D4D4F"/>
              <w:right w:val="single" w:sz="4" w:space="0" w:color="4D4D4F"/>
            </w:tcBorders>
            <w:shd w:val="clear" w:color="auto" w:fill="7E83C0" w:themeFill="accent4"/>
          </w:tcPr>
          <w:p w14:paraId="105C8F11"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iCs w:val="0"/>
                <w:sz w:val="18"/>
                <w:szCs w:val="18"/>
              </w:rPr>
            </w:pPr>
            <w:r w:rsidRPr="000564FC">
              <w:rPr>
                <w:sz w:val="18"/>
                <w:szCs w:val="18"/>
              </w:rPr>
              <w:t>Evaluation Estimate</w:t>
            </w:r>
          </w:p>
          <w:p w14:paraId="49E9483B"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(Where Available)</w:t>
            </w:r>
          </w:p>
        </w:tc>
        <w:tc>
          <w:tcPr>
            <w:tcW w:w="2610" w:type="dxa"/>
            <w:gridSpan w:val="2"/>
            <w:tcBorders>
              <w:left w:val="single" w:sz="4" w:space="0" w:color="4D4D4F"/>
              <w:bottom w:val="single" w:sz="4" w:space="0" w:color="4D4D4F"/>
              <w:right w:val="single" w:sz="4" w:space="0" w:color="4D4D4F"/>
            </w:tcBorders>
            <w:shd w:val="clear" w:color="auto" w:fill="7E83C0" w:themeFill="accent4"/>
          </w:tcPr>
          <w:p w14:paraId="1584DD19"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Participation</w:t>
            </w:r>
          </w:p>
        </w:tc>
        <w:tc>
          <w:tcPr>
            <w:tcW w:w="661" w:type="dxa"/>
            <w:tcBorders>
              <w:left w:val="single" w:sz="4" w:space="0" w:color="4D4D4F"/>
              <w:bottom w:val="single" w:sz="4" w:space="0" w:color="4D4D4F"/>
            </w:tcBorders>
            <w:shd w:val="clear" w:color="auto" w:fill="5661AC" w:themeFill="accent5"/>
          </w:tcPr>
          <w:p w14:paraId="2522BD82"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WAML</w:t>
            </w:r>
          </w:p>
        </w:tc>
      </w:tr>
      <w:tr w:rsidR="0019360C" w:rsidRPr="006629DB" w14:paraId="0592BE16" w14:textId="77777777" w:rsidTr="002C7F49">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2155" w:type="dxa"/>
            <w:vMerge/>
            <w:tcBorders>
              <w:bottom w:val="single" w:sz="4" w:space="0" w:color="4D4D4F"/>
            </w:tcBorders>
            <w:shd w:val="clear" w:color="auto" w:fill="172B54" w:themeFill="accent1"/>
          </w:tcPr>
          <w:p w14:paraId="106A2450" w14:textId="77777777" w:rsidR="00067DBC" w:rsidRPr="000564FC" w:rsidRDefault="00067DBC" w:rsidP="002C7F49">
            <w:pPr>
              <w:pStyle w:val="TableHeadingLeft"/>
              <w:rPr>
                <w:sz w:val="18"/>
                <w:szCs w:val="18"/>
              </w:rPr>
            </w:pPr>
          </w:p>
        </w:tc>
        <w:tc>
          <w:tcPr>
            <w:tcW w:w="2430" w:type="dxa"/>
            <w:vMerge/>
            <w:tcBorders>
              <w:left w:val="single" w:sz="4" w:space="0" w:color="4D4D4F"/>
              <w:bottom w:val="single" w:sz="4" w:space="0" w:color="4D4D4F"/>
              <w:right w:val="single" w:sz="4" w:space="0" w:color="4D4D4F"/>
            </w:tcBorders>
            <w:shd w:val="clear" w:color="auto" w:fill="172B54" w:themeFill="accent1"/>
          </w:tcPr>
          <w:p w14:paraId="52FFC2AA" w14:textId="77777777" w:rsidR="00067DBC" w:rsidRPr="000564FC" w:rsidRDefault="00067DBC" w:rsidP="002C7F49">
            <w:pPr>
              <w:pStyle w:val="TableHeadingLeft"/>
              <w:cnfStyle w:val="100000000000" w:firstRow="1" w:lastRow="0" w:firstColumn="0" w:lastColumn="0" w:oddVBand="0" w:evenVBand="0" w:oddHBand="0" w:evenHBand="0" w:firstRowFirstColumn="0" w:firstRowLastColumn="0" w:lastRowFirstColumn="0" w:lastRowLastColumn="0"/>
              <w:rPr>
                <w:sz w:val="18"/>
                <w:szCs w:val="18"/>
              </w:rPr>
            </w:pPr>
          </w:p>
        </w:tc>
        <w:tc>
          <w:tcPr>
            <w:tcW w:w="1260" w:type="dxa"/>
            <w:tcBorders>
              <w:left w:val="single" w:sz="4" w:space="0" w:color="4D4D4F"/>
              <w:bottom w:val="single" w:sz="4" w:space="0" w:color="4D4D4F"/>
              <w:right w:val="single" w:sz="4" w:space="0" w:color="4D4D4F"/>
            </w:tcBorders>
          </w:tcPr>
          <w:p w14:paraId="38DBD70A"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Energy Savings</w:t>
            </w:r>
          </w:p>
        </w:tc>
        <w:tc>
          <w:tcPr>
            <w:tcW w:w="1440" w:type="dxa"/>
            <w:tcBorders>
              <w:left w:val="single" w:sz="4" w:space="0" w:color="4D4D4F"/>
              <w:bottom w:val="single" w:sz="4" w:space="0" w:color="4D4D4F"/>
              <w:right w:val="single" w:sz="4" w:space="0" w:color="4D4D4F"/>
            </w:tcBorders>
            <w:shd w:val="clear" w:color="auto" w:fill="265EAC" w:themeFill="accent2"/>
          </w:tcPr>
          <w:p w14:paraId="64D567F5"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Energy Savings (Ex Ante Gross / Verified Gross)</w:t>
            </w:r>
          </w:p>
        </w:tc>
        <w:tc>
          <w:tcPr>
            <w:tcW w:w="1260" w:type="dxa"/>
            <w:tcBorders>
              <w:left w:val="single" w:sz="4" w:space="0" w:color="4D4D4F"/>
              <w:bottom w:val="single" w:sz="4" w:space="0" w:color="4D4D4F"/>
              <w:right w:val="single" w:sz="4" w:space="0" w:color="4D4D4F"/>
            </w:tcBorders>
            <w:shd w:val="clear" w:color="auto" w:fill="265EAC" w:themeFill="accent2"/>
          </w:tcPr>
          <w:p w14:paraId="6A020D39"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Energy Savings</w:t>
            </w:r>
          </w:p>
        </w:tc>
        <w:tc>
          <w:tcPr>
            <w:tcW w:w="1260" w:type="dxa"/>
            <w:tcBorders>
              <w:left w:val="single" w:sz="4" w:space="0" w:color="4D4D4F"/>
              <w:bottom w:val="single" w:sz="4" w:space="0" w:color="4D4D4F"/>
              <w:right w:val="single" w:sz="4" w:space="0" w:color="4D4D4F"/>
            </w:tcBorders>
            <w:shd w:val="clear" w:color="auto" w:fill="265EAC" w:themeFill="accent2"/>
          </w:tcPr>
          <w:p w14:paraId="6BC24122"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Peak Demand Savings</w:t>
            </w:r>
          </w:p>
        </w:tc>
        <w:tc>
          <w:tcPr>
            <w:tcW w:w="990" w:type="dxa"/>
            <w:tcBorders>
              <w:left w:val="single" w:sz="4" w:space="0" w:color="4D4D4F"/>
              <w:bottom w:val="single" w:sz="4" w:space="0" w:color="4D4D4F"/>
              <w:right w:val="single" w:sz="4" w:space="0" w:color="4D4D4F"/>
            </w:tcBorders>
            <w:shd w:val="clear" w:color="auto" w:fill="265EAC" w:themeFill="accent2"/>
          </w:tcPr>
          <w:p w14:paraId="1649B81B"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Lifetime Savings</w:t>
            </w:r>
          </w:p>
        </w:tc>
        <w:tc>
          <w:tcPr>
            <w:tcW w:w="810" w:type="dxa"/>
            <w:tcBorders>
              <w:left w:val="single" w:sz="4" w:space="0" w:color="4D4D4F"/>
              <w:bottom w:val="single" w:sz="4" w:space="0" w:color="4D4D4F"/>
              <w:right w:val="single" w:sz="4" w:space="0" w:color="4D4D4F"/>
            </w:tcBorders>
            <w:shd w:val="clear" w:color="auto" w:fill="1FA9E1" w:themeFill="accent3"/>
          </w:tcPr>
          <w:p w14:paraId="252895F0"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NTGR</w:t>
            </w:r>
          </w:p>
        </w:tc>
        <w:tc>
          <w:tcPr>
            <w:tcW w:w="900" w:type="dxa"/>
            <w:tcBorders>
              <w:left w:val="single" w:sz="4" w:space="0" w:color="4D4D4F"/>
              <w:bottom w:val="single" w:sz="4" w:space="0" w:color="4D4D4F"/>
              <w:right w:val="single" w:sz="4" w:space="0" w:color="4D4D4F"/>
            </w:tcBorders>
            <w:shd w:val="clear" w:color="auto" w:fill="1FA9E1" w:themeFill="accent3"/>
          </w:tcPr>
          <w:p w14:paraId="210CDF85"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Savings</w:t>
            </w:r>
          </w:p>
        </w:tc>
        <w:tc>
          <w:tcPr>
            <w:tcW w:w="1260" w:type="dxa"/>
            <w:tcBorders>
              <w:left w:val="single" w:sz="4" w:space="0" w:color="4D4D4F"/>
              <w:bottom w:val="single" w:sz="4" w:space="0" w:color="4D4D4F"/>
              <w:right w:val="single" w:sz="4" w:space="0" w:color="4D4D4F"/>
            </w:tcBorders>
            <w:shd w:val="clear" w:color="auto" w:fill="1FA9E1" w:themeFill="accent3"/>
          </w:tcPr>
          <w:p w14:paraId="05E7C82A"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Peak Demand Savings</w:t>
            </w:r>
          </w:p>
        </w:tc>
        <w:tc>
          <w:tcPr>
            <w:tcW w:w="990" w:type="dxa"/>
            <w:tcBorders>
              <w:left w:val="single" w:sz="4" w:space="0" w:color="4D4D4F"/>
              <w:bottom w:val="single" w:sz="4" w:space="0" w:color="4D4D4F"/>
              <w:right w:val="single" w:sz="4" w:space="0" w:color="4D4D4F"/>
            </w:tcBorders>
            <w:shd w:val="clear" w:color="auto" w:fill="1FA9E1" w:themeFill="accent3"/>
          </w:tcPr>
          <w:p w14:paraId="27F69461"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Lifetime Savings</w:t>
            </w:r>
          </w:p>
        </w:tc>
        <w:tc>
          <w:tcPr>
            <w:tcW w:w="1350" w:type="dxa"/>
            <w:tcBorders>
              <w:left w:val="single" w:sz="4" w:space="0" w:color="4D4D4F"/>
              <w:bottom w:val="single" w:sz="4" w:space="0" w:color="4D4D4F"/>
              <w:right w:val="single" w:sz="4" w:space="0" w:color="4D4D4F"/>
            </w:tcBorders>
            <w:shd w:val="clear" w:color="auto" w:fill="1FA9E1" w:themeFill="accent3"/>
          </w:tcPr>
          <w:p w14:paraId="39A70BA7"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Cost per First Year Annual Savings</w:t>
            </w:r>
          </w:p>
        </w:tc>
        <w:tc>
          <w:tcPr>
            <w:tcW w:w="1260" w:type="dxa"/>
            <w:tcBorders>
              <w:left w:val="single" w:sz="4" w:space="0" w:color="4D4D4F"/>
              <w:bottom w:val="single" w:sz="4" w:space="0" w:color="4D4D4F"/>
              <w:right w:val="single" w:sz="4" w:space="0" w:color="4D4D4F"/>
            </w:tcBorders>
            <w:shd w:val="clear" w:color="auto" w:fill="1FA9E1" w:themeFill="accent3"/>
          </w:tcPr>
          <w:p w14:paraId="5876EB45"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Cost per Lifetime Savings</w:t>
            </w:r>
          </w:p>
        </w:tc>
        <w:tc>
          <w:tcPr>
            <w:tcW w:w="1620" w:type="dxa"/>
            <w:tcBorders>
              <w:left w:val="single" w:sz="4" w:space="0" w:color="4D4D4F"/>
              <w:bottom w:val="single" w:sz="4" w:space="0" w:color="4D4D4F"/>
              <w:right w:val="single" w:sz="4" w:space="0" w:color="4D4D4F"/>
            </w:tcBorders>
            <w:shd w:val="clear" w:color="auto" w:fill="7E83C0" w:themeFill="accent4"/>
          </w:tcPr>
          <w:p w14:paraId="652C9B98"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Program Costs</w:t>
            </w:r>
          </w:p>
        </w:tc>
        <w:tc>
          <w:tcPr>
            <w:tcW w:w="1080" w:type="dxa"/>
            <w:tcBorders>
              <w:left w:val="single" w:sz="4" w:space="0" w:color="4D4D4F"/>
              <w:bottom w:val="single" w:sz="4" w:space="0" w:color="4D4D4F"/>
              <w:right w:val="single" w:sz="4" w:space="0" w:color="4D4D4F"/>
            </w:tcBorders>
            <w:shd w:val="clear" w:color="auto" w:fill="7E83C0" w:themeFill="accent4"/>
          </w:tcPr>
          <w:p w14:paraId="7B59F4C6"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NTGR</w:t>
            </w:r>
          </w:p>
        </w:tc>
        <w:tc>
          <w:tcPr>
            <w:tcW w:w="990" w:type="dxa"/>
            <w:vMerge w:val="restart"/>
            <w:tcBorders>
              <w:left w:val="single" w:sz="4" w:space="0" w:color="4D4D4F"/>
              <w:right w:val="single" w:sz="4" w:space="0" w:color="4D4D4F"/>
            </w:tcBorders>
            <w:shd w:val="clear" w:color="auto" w:fill="7E83C0" w:themeFill="accent4"/>
          </w:tcPr>
          <w:p w14:paraId="451058F9"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 Units</w:t>
            </w:r>
          </w:p>
        </w:tc>
        <w:tc>
          <w:tcPr>
            <w:tcW w:w="1620" w:type="dxa"/>
            <w:vMerge w:val="restart"/>
            <w:tcBorders>
              <w:left w:val="single" w:sz="4" w:space="0" w:color="4D4D4F"/>
              <w:right w:val="single" w:sz="4" w:space="0" w:color="4D4D4F"/>
            </w:tcBorders>
            <w:shd w:val="clear" w:color="auto" w:fill="7E83C0" w:themeFill="accent4"/>
          </w:tcPr>
          <w:p w14:paraId="1F322AD7"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Units Definition</w:t>
            </w:r>
          </w:p>
        </w:tc>
        <w:tc>
          <w:tcPr>
            <w:tcW w:w="661" w:type="dxa"/>
            <w:vMerge w:val="restart"/>
            <w:tcBorders>
              <w:left w:val="single" w:sz="4" w:space="0" w:color="4D4D4F"/>
            </w:tcBorders>
            <w:shd w:val="clear" w:color="auto" w:fill="5661AC" w:themeFill="accent5"/>
          </w:tcPr>
          <w:p w14:paraId="62A24089"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Years</w:t>
            </w:r>
          </w:p>
        </w:tc>
      </w:tr>
      <w:tr w:rsidR="0019360C" w:rsidRPr="006629DB" w14:paraId="36240C7A" w14:textId="77777777" w:rsidTr="002C7F4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72B54" w:themeFill="accent1"/>
          </w:tcPr>
          <w:p w14:paraId="6992FE33" w14:textId="77777777" w:rsidR="00067DBC" w:rsidRPr="000564FC" w:rsidRDefault="00067DBC" w:rsidP="002C7F49">
            <w:pPr>
              <w:pStyle w:val="ODTable"/>
              <w:suppressAutoHyphens/>
              <w:ind w:left="72"/>
              <w:rPr>
                <w:sz w:val="18"/>
                <w:szCs w:val="18"/>
              </w:rPr>
            </w:pPr>
          </w:p>
        </w:tc>
        <w:tc>
          <w:tcPr>
            <w:tcW w:w="2430" w:type="dxa"/>
            <w:vMerge/>
            <w:shd w:val="clear" w:color="auto" w:fill="172B54" w:themeFill="accent1"/>
          </w:tcPr>
          <w:p w14:paraId="472ECACF" w14:textId="77777777" w:rsidR="00067DBC" w:rsidRPr="000564FC" w:rsidRDefault="00067DBC" w:rsidP="002C7F49">
            <w:pPr>
              <w:pStyle w:val="ODTable"/>
              <w:suppressAutoHyphens/>
              <w:ind w:left="72"/>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053572" w:themeFill="text2"/>
          </w:tcPr>
          <w:p w14:paraId="692750B2"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MWh</w:t>
            </w:r>
          </w:p>
        </w:tc>
        <w:tc>
          <w:tcPr>
            <w:tcW w:w="1440" w:type="dxa"/>
            <w:shd w:val="clear" w:color="auto" w:fill="265EAC" w:themeFill="accent2"/>
          </w:tcPr>
          <w:p w14:paraId="244FB347"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w:t>
            </w:r>
          </w:p>
        </w:tc>
        <w:tc>
          <w:tcPr>
            <w:tcW w:w="1260" w:type="dxa"/>
            <w:shd w:val="clear" w:color="auto" w:fill="265EAC" w:themeFill="accent2"/>
          </w:tcPr>
          <w:p w14:paraId="209D72E0"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MWh</w:t>
            </w:r>
          </w:p>
        </w:tc>
        <w:tc>
          <w:tcPr>
            <w:tcW w:w="1260" w:type="dxa"/>
            <w:shd w:val="clear" w:color="auto" w:fill="265EAC" w:themeFill="accent2"/>
          </w:tcPr>
          <w:p w14:paraId="534CCB2C"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MW</w:t>
            </w:r>
          </w:p>
        </w:tc>
        <w:tc>
          <w:tcPr>
            <w:tcW w:w="990" w:type="dxa"/>
            <w:shd w:val="clear" w:color="auto" w:fill="265EAC" w:themeFill="accent2"/>
          </w:tcPr>
          <w:p w14:paraId="441B41FB"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MWh</w:t>
            </w:r>
          </w:p>
        </w:tc>
        <w:tc>
          <w:tcPr>
            <w:tcW w:w="810" w:type="dxa"/>
            <w:shd w:val="clear" w:color="auto" w:fill="1FA9E1" w:themeFill="accent3"/>
          </w:tcPr>
          <w:p w14:paraId="64BF22B5"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w:t>
            </w:r>
          </w:p>
        </w:tc>
        <w:tc>
          <w:tcPr>
            <w:tcW w:w="900" w:type="dxa"/>
            <w:shd w:val="clear" w:color="auto" w:fill="1FA9E1" w:themeFill="accent3"/>
          </w:tcPr>
          <w:p w14:paraId="13A36282"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sz w:val="18"/>
                <w:szCs w:val="18"/>
              </w:rPr>
              <w:t>MWh</w:t>
            </w:r>
          </w:p>
        </w:tc>
        <w:tc>
          <w:tcPr>
            <w:tcW w:w="1260" w:type="dxa"/>
            <w:shd w:val="clear" w:color="auto" w:fill="1FA9E1" w:themeFill="accent3"/>
          </w:tcPr>
          <w:p w14:paraId="7E06C627"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sz w:val="18"/>
                <w:szCs w:val="18"/>
              </w:rPr>
              <w:t>MW</w:t>
            </w:r>
          </w:p>
        </w:tc>
        <w:tc>
          <w:tcPr>
            <w:tcW w:w="990" w:type="dxa"/>
            <w:shd w:val="clear" w:color="auto" w:fill="1FA9E1" w:themeFill="accent3"/>
          </w:tcPr>
          <w:p w14:paraId="64ECB775"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MWh</w:t>
            </w:r>
          </w:p>
        </w:tc>
        <w:tc>
          <w:tcPr>
            <w:tcW w:w="1350" w:type="dxa"/>
            <w:shd w:val="clear" w:color="auto" w:fill="1FA9E1" w:themeFill="accent3"/>
          </w:tcPr>
          <w:p w14:paraId="6846F5EB"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$/MWh</w:t>
            </w:r>
          </w:p>
        </w:tc>
        <w:tc>
          <w:tcPr>
            <w:tcW w:w="1260" w:type="dxa"/>
            <w:shd w:val="clear" w:color="auto" w:fill="1FA9E1" w:themeFill="accent3"/>
          </w:tcPr>
          <w:p w14:paraId="0555203A"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$/MWh</w:t>
            </w:r>
          </w:p>
        </w:tc>
        <w:tc>
          <w:tcPr>
            <w:tcW w:w="1620" w:type="dxa"/>
            <w:shd w:val="clear" w:color="auto" w:fill="7E83C0" w:themeFill="accent4"/>
          </w:tcPr>
          <w:p w14:paraId="2DC1FB1B"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w:t>
            </w:r>
          </w:p>
        </w:tc>
        <w:tc>
          <w:tcPr>
            <w:tcW w:w="1080" w:type="dxa"/>
            <w:shd w:val="clear" w:color="auto" w:fill="7E83C0" w:themeFill="accent4"/>
          </w:tcPr>
          <w:p w14:paraId="05CB10D5"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w:t>
            </w:r>
          </w:p>
        </w:tc>
        <w:tc>
          <w:tcPr>
            <w:tcW w:w="990" w:type="dxa"/>
            <w:vMerge/>
            <w:shd w:val="clear" w:color="auto" w:fill="7E83C0" w:themeFill="accent4"/>
          </w:tcPr>
          <w:p w14:paraId="5A515C92"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vMerge/>
            <w:shd w:val="clear" w:color="auto" w:fill="7E83C0" w:themeFill="accent4"/>
          </w:tcPr>
          <w:p w14:paraId="7E5938C8"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vMerge/>
            <w:shd w:val="clear" w:color="auto" w:fill="5661AC" w:themeFill="accent5"/>
          </w:tcPr>
          <w:p w14:paraId="3FE45880"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0C5975F0"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Borders>
              <w:right w:val="nil"/>
            </w:tcBorders>
            <w:shd w:val="clear" w:color="auto" w:fill="4A4D56" w:themeFill="text1"/>
          </w:tcPr>
          <w:p w14:paraId="1FFF8654" w14:textId="77777777" w:rsidR="00067DBC" w:rsidRPr="000564FC" w:rsidRDefault="00067DBC" w:rsidP="002C7F49">
            <w:pPr>
              <w:pStyle w:val="TableLeftText"/>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Residential Program</w:t>
            </w:r>
          </w:p>
        </w:tc>
        <w:tc>
          <w:tcPr>
            <w:tcW w:w="2430" w:type="dxa"/>
            <w:tcBorders>
              <w:left w:val="nil"/>
              <w:right w:val="nil"/>
            </w:tcBorders>
            <w:shd w:val="clear" w:color="auto" w:fill="4A4D56" w:themeFill="text1"/>
          </w:tcPr>
          <w:p w14:paraId="28D10E79" w14:textId="77777777" w:rsidR="00067DBC" w:rsidRPr="000564FC" w:rsidRDefault="00067DBC" w:rsidP="002C7F49">
            <w:pPr>
              <w:pStyle w:val="TableLeft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7724F625"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tcBorders>
              <w:left w:val="nil"/>
              <w:right w:val="nil"/>
            </w:tcBorders>
            <w:shd w:val="clear" w:color="auto" w:fill="4A4D56" w:themeFill="text1"/>
          </w:tcPr>
          <w:p w14:paraId="6003E080"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0FC88078"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19F539A3"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nil"/>
              <w:right w:val="nil"/>
            </w:tcBorders>
            <w:shd w:val="clear" w:color="auto" w:fill="4A4D56" w:themeFill="text1"/>
          </w:tcPr>
          <w:p w14:paraId="6FB0E4F9"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left w:val="nil"/>
              <w:right w:val="nil"/>
            </w:tcBorders>
            <w:shd w:val="clear" w:color="auto" w:fill="4A4D56" w:themeFill="text1"/>
          </w:tcPr>
          <w:p w14:paraId="704D1E96"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tcBorders>
              <w:left w:val="nil"/>
              <w:right w:val="nil"/>
            </w:tcBorders>
            <w:shd w:val="clear" w:color="auto" w:fill="4A4D56" w:themeFill="text1"/>
          </w:tcPr>
          <w:p w14:paraId="599B63B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394C593D"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nil"/>
              <w:right w:val="nil"/>
            </w:tcBorders>
            <w:shd w:val="clear" w:color="auto" w:fill="4A4D56" w:themeFill="text1"/>
          </w:tcPr>
          <w:p w14:paraId="41084E2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1350" w:type="dxa"/>
            <w:tcBorders>
              <w:left w:val="nil"/>
              <w:right w:val="nil"/>
            </w:tcBorders>
            <w:shd w:val="clear" w:color="auto" w:fill="4A4D56" w:themeFill="text1"/>
          </w:tcPr>
          <w:p w14:paraId="76AA2113"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1260" w:type="dxa"/>
            <w:tcBorders>
              <w:left w:val="nil"/>
              <w:right w:val="nil"/>
            </w:tcBorders>
            <w:shd w:val="clear" w:color="auto" w:fill="4A4D56" w:themeFill="text1"/>
          </w:tcPr>
          <w:p w14:paraId="77C3D4FA"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tcBorders>
              <w:left w:val="nil"/>
              <w:right w:val="nil"/>
            </w:tcBorders>
            <w:shd w:val="clear" w:color="auto" w:fill="4A4D56" w:themeFill="text1"/>
          </w:tcPr>
          <w:p w14:paraId="2ECE7D6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1080" w:type="dxa"/>
            <w:tcBorders>
              <w:left w:val="nil"/>
              <w:right w:val="nil"/>
            </w:tcBorders>
            <w:shd w:val="clear" w:color="auto" w:fill="4A4D56" w:themeFill="text1"/>
          </w:tcPr>
          <w:p w14:paraId="42AE62CA"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990" w:type="dxa"/>
            <w:tcBorders>
              <w:left w:val="nil"/>
              <w:right w:val="nil"/>
            </w:tcBorders>
            <w:shd w:val="clear" w:color="auto" w:fill="4A4D56" w:themeFill="text1"/>
          </w:tcPr>
          <w:p w14:paraId="3710AEF5"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1620" w:type="dxa"/>
            <w:tcBorders>
              <w:left w:val="nil"/>
              <w:right w:val="nil"/>
            </w:tcBorders>
            <w:shd w:val="clear" w:color="auto" w:fill="4A4D56" w:themeFill="text1"/>
          </w:tcPr>
          <w:p w14:paraId="1614C319"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661" w:type="dxa"/>
            <w:tcBorders>
              <w:left w:val="nil"/>
            </w:tcBorders>
            <w:shd w:val="clear" w:color="auto" w:fill="4A4D56" w:themeFill="text1"/>
          </w:tcPr>
          <w:p w14:paraId="358D649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r>
      <w:tr w:rsidR="00B61EFC" w:rsidRPr="006629DB" w14:paraId="6EFDC82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5F0E33AE" w14:textId="041C7AC7" w:rsidR="00B61EFC" w:rsidRPr="00237647" w:rsidRDefault="00B61EFC" w:rsidP="00B61EFC">
            <w:pPr>
              <w:pStyle w:val="TableLeftText"/>
              <w:rPr>
                <w:sz w:val="18"/>
                <w:szCs w:val="18"/>
              </w:rPr>
            </w:pPr>
            <w:r>
              <w:rPr>
                <w:rFonts w:cs="Calibri"/>
                <w:color w:val="4A4D56"/>
                <w:sz w:val="18"/>
                <w:szCs w:val="18"/>
              </w:rPr>
              <w:t xml:space="preserve">Retail Products </w:t>
            </w:r>
          </w:p>
        </w:tc>
        <w:tc>
          <w:tcPr>
            <w:tcW w:w="2430" w:type="dxa"/>
            <w:shd w:val="clear" w:color="auto" w:fill="BFCEED" w:themeFill="accent1" w:themeFillTint="33"/>
          </w:tcPr>
          <w:p w14:paraId="3EE17C98" w14:textId="0FF9500B"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Income Qualified</w:t>
            </w:r>
          </w:p>
        </w:tc>
        <w:tc>
          <w:tcPr>
            <w:tcW w:w="1260" w:type="dxa"/>
            <w:shd w:val="clear" w:color="auto" w:fill="B3D3FB" w:themeFill="text2" w:themeFillTint="33"/>
          </w:tcPr>
          <w:p w14:paraId="6B7599A6" w14:textId="0617F123"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19946B9E" w14:textId="3C32DB6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6DF15F0B" w14:textId="2B88DA7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5FD8103F" w14:textId="230FADB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7EF42669" w14:textId="0B99B70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77728F10" w14:textId="39BFBBF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00E76203" w14:textId="7B63ABB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7A7B0AE" w14:textId="7E64C843"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0731E7C5" w14:textId="59BB381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350" w:type="dxa"/>
            <w:shd w:val="clear" w:color="auto" w:fill="D2EDF9" w:themeFill="accent3" w:themeFillTint="33"/>
          </w:tcPr>
          <w:p w14:paraId="2095265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260" w:type="dxa"/>
            <w:shd w:val="clear" w:color="auto" w:fill="D2EDF9" w:themeFill="accent3" w:themeFillTint="33"/>
          </w:tcPr>
          <w:p w14:paraId="14EDA7A9"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C45CB1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080" w:type="dxa"/>
            <w:shd w:val="clear" w:color="auto" w:fill="E5E5F2" w:themeFill="accent4" w:themeFillTint="33"/>
          </w:tcPr>
          <w:p w14:paraId="1C8E3E1A" w14:textId="54ABB13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17F13D32" w14:textId="032F9D2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620" w:type="dxa"/>
            <w:shd w:val="clear" w:color="auto" w:fill="E5E5F2" w:themeFill="accent4" w:themeFillTint="33"/>
          </w:tcPr>
          <w:p w14:paraId="1CC56129" w14:textId="07EF5229"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661" w:type="dxa"/>
            <w:shd w:val="clear" w:color="auto" w:fill="DDDFEE" w:themeFill="accent5" w:themeFillTint="33"/>
          </w:tcPr>
          <w:p w14:paraId="5B2D2BFF" w14:textId="7105D5F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B61EFC" w:rsidRPr="006629DB" w14:paraId="18E371B9"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8F36272" w14:textId="5C49ADE5" w:rsidR="00B61EFC" w:rsidRPr="00237647" w:rsidRDefault="00B61EFC" w:rsidP="00B61EFC">
            <w:pPr>
              <w:pStyle w:val="TableLeftText"/>
              <w:rPr>
                <w:sz w:val="18"/>
                <w:szCs w:val="18"/>
              </w:rPr>
            </w:pPr>
            <w:r>
              <w:rPr>
                <w:rFonts w:cs="Calibri"/>
                <w:color w:val="4A4D56"/>
                <w:sz w:val="18"/>
                <w:szCs w:val="18"/>
              </w:rPr>
              <w:t xml:space="preserve">Retail Products </w:t>
            </w:r>
          </w:p>
        </w:tc>
        <w:tc>
          <w:tcPr>
            <w:tcW w:w="2430" w:type="dxa"/>
            <w:shd w:val="clear" w:color="auto" w:fill="BFCEED" w:themeFill="accent1" w:themeFillTint="33"/>
          </w:tcPr>
          <w:p w14:paraId="4C147BC4" w14:textId="698ED3CA"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Market Rate</w:t>
            </w:r>
          </w:p>
        </w:tc>
        <w:tc>
          <w:tcPr>
            <w:tcW w:w="1260" w:type="dxa"/>
            <w:shd w:val="clear" w:color="auto" w:fill="B3D3FB" w:themeFill="text2" w:themeFillTint="33"/>
          </w:tcPr>
          <w:p w14:paraId="48DCEB90" w14:textId="775B575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5E45D997" w14:textId="70BF563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8B94D5F" w14:textId="41B2504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7DA1559" w14:textId="6A7911F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4471B705" w14:textId="7F8D4AB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98723CA" w14:textId="26ED7AD0"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3074E895" w14:textId="40F58B4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100B5AB3" w14:textId="350FF9F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1EA32BD8" w14:textId="27BA670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74D5B463"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5763FA3"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64742BDA"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57C329A7" w14:textId="23A5B91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7521D53D" w14:textId="32F6083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2DFE82BE" w14:textId="5FC56665"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17EA76FC" w14:textId="5F8A82B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65BA4CB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88E8751" w14:textId="26182743" w:rsidR="00B61EFC" w:rsidRPr="00237647" w:rsidRDefault="00B61EFC" w:rsidP="00B61EFC">
            <w:pPr>
              <w:pStyle w:val="TableLeftText"/>
              <w:rPr>
                <w:sz w:val="18"/>
                <w:szCs w:val="18"/>
              </w:rPr>
            </w:pPr>
            <w:r>
              <w:rPr>
                <w:rFonts w:cs="Calibri"/>
                <w:color w:val="4A4D56"/>
                <w:sz w:val="18"/>
                <w:szCs w:val="18"/>
              </w:rPr>
              <w:t xml:space="preserve">Retail Products </w:t>
            </w:r>
          </w:p>
        </w:tc>
        <w:tc>
          <w:tcPr>
            <w:tcW w:w="2430" w:type="dxa"/>
            <w:shd w:val="clear" w:color="auto" w:fill="BFCEED" w:themeFill="accent1" w:themeFillTint="33"/>
          </w:tcPr>
          <w:p w14:paraId="3EEA28B6" w14:textId="2A9A3BF3"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Income Qualified Carryover</w:t>
            </w:r>
          </w:p>
        </w:tc>
        <w:tc>
          <w:tcPr>
            <w:tcW w:w="1260" w:type="dxa"/>
            <w:shd w:val="clear" w:color="auto" w:fill="B3D3FB" w:themeFill="text2" w:themeFillTint="33"/>
          </w:tcPr>
          <w:p w14:paraId="38289261" w14:textId="4EFF075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078458ED" w14:textId="7850CE16"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B542CB9" w14:textId="2458A8C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6744B0FD" w14:textId="627E5A3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146B672" w14:textId="30CA788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20D219C5" w14:textId="004D4E8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373352B0" w14:textId="7F9E8B2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6F805A6" w14:textId="6439271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33FD97BC" w14:textId="4897021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22B2C663"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F719B8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04697D64"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5DFC20E5" w14:textId="1AD06A9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2C86DA8B" w14:textId="4A57868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C7AC8CF" w14:textId="3A181E84"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1D767D86" w14:textId="0631A874"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031F5E9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371E6D9D" w14:textId="21A7F838" w:rsidR="00B61EFC" w:rsidRPr="00237647" w:rsidRDefault="00B61EFC" w:rsidP="00B61EFC">
            <w:pPr>
              <w:pStyle w:val="TableLeftText"/>
              <w:rPr>
                <w:sz w:val="18"/>
                <w:szCs w:val="18"/>
              </w:rPr>
            </w:pPr>
            <w:r>
              <w:rPr>
                <w:rFonts w:cs="Calibri"/>
                <w:color w:val="4A4D56"/>
                <w:sz w:val="18"/>
                <w:szCs w:val="18"/>
              </w:rPr>
              <w:t xml:space="preserve">Retail Products </w:t>
            </w:r>
          </w:p>
        </w:tc>
        <w:tc>
          <w:tcPr>
            <w:tcW w:w="2430" w:type="dxa"/>
            <w:shd w:val="clear" w:color="auto" w:fill="BFCEED" w:themeFill="accent1" w:themeFillTint="33"/>
          </w:tcPr>
          <w:p w14:paraId="255FE50C" w14:textId="0D417A0C"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Market Rate Carryover</w:t>
            </w:r>
          </w:p>
        </w:tc>
        <w:tc>
          <w:tcPr>
            <w:tcW w:w="1260" w:type="dxa"/>
            <w:shd w:val="clear" w:color="auto" w:fill="B3D3FB" w:themeFill="text2" w:themeFillTint="33"/>
          </w:tcPr>
          <w:p w14:paraId="6AE2BBFF" w14:textId="69D9912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17532026" w14:textId="2801D874"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6B0504AE" w14:textId="2EEF28E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A916DDD" w14:textId="498FDBC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78308B6D" w14:textId="3808ED9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7961D41F" w14:textId="12829E8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3913AF76" w14:textId="31E0A76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33F01A2" w14:textId="6227F4A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632E6D6E" w14:textId="14497C0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728FD0A"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A80279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317AFC0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56249421" w14:textId="130079B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5453972B" w14:textId="0CA437E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25DB3D04" w14:textId="7F3E1B24"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66C0879C" w14:textId="28CA983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66F82EB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57D78F0" w14:textId="5BAED173"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1995691B" w14:textId="66DF0328"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Single Family</w:t>
            </w:r>
          </w:p>
        </w:tc>
        <w:tc>
          <w:tcPr>
            <w:tcW w:w="1260" w:type="dxa"/>
            <w:shd w:val="clear" w:color="auto" w:fill="B3D3FB" w:themeFill="text2" w:themeFillTint="33"/>
          </w:tcPr>
          <w:p w14:paraId="13EDFA17" w14:textId="4799BFB6"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2BA0108F" w14:textId="2695458B"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6A80D60" w14:textId="511ED31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6815E407" w14:textId="0288B1E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AD9DDAD" w14:textId="1912D52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0319F65D" w14:textId="6656554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160D1053" w14:textId="105D4CC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E37FF06" w14:textId="590783E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153F3C82" w14:textId="49EE60E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36010AF6"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10E60F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7FAC0A79"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061ABD1F" w14:textId="1D33090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4AD5F6CC" w14:textId="1A4D293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0D69D438" w14:textId="0D01D4CB"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2FFF0F3C" w14:textId="5AA1D1F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2B85E7C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5A23F120" w14:textId="667048DE"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2FE634A3" w14:textId="63340693"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CAA</w:t>
            </w:r>
          </w:p>
        </w:tc>
        <w:tc>
          <w:tcPr>
            <w:tcW w:w="1260" w:type="dxa"/>
            <w:shd w:val="clear" w:color="auto" w:fill="B3D3FB" w:themeFill="text2" w:themeFillTint="33"/>
          </w:tcPr>
          <w:p w14:paraId="2D7E2D27" w14:textId="20B5008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5C970623" w14:textId="3613627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8D345CE" w14:textId="78176F3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4C29C88D" w14:textId="08C7E7E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79FFA575" w14:textId="7675303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F7B6A58" w14:textId="28AFAC64"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1CABA117" w14:textId="212878D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7F4FB124" w14:textId="72FAF8D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2F4B9E5A" w14:textId="383561F0"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306A84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173885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38430AF7"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7F087287" w14:textId="37BF127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021EAC38" w14:textId="2608B97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6DC18787" w14:textId="265856DA"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3479462C" w14:textId="705C7744"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5457DC3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B19259E" w14:textId="6C96765D"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1EC4E8F4" w14:textId="510D1ED1"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Joint Utility</w:t>
            </w:r>
          </w:p>
        </w:tc>
        <w:tc>
          <w:tcPr>
            <w:tcW w:w="1260" w:type="dxa"/>
            <w:shd w:val="clear" w:color="auto" w:fill="B3D3FB" w:themeFill="text2" w:themeFillTint="33"/>
          </w:tcPr>
          <w:p w14:paraId="0329A838" w14:textId="7572616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70271C12" w14:textId="49524D7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76CD36E" w14:textId="2E45DD94"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14F7FB4E" w14:textId="61E1CB6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087098BC" w14:textId="262E864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62A01D04" w14:textId="6BB1FC7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33860F8D" w14:textId="1215DC5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90F59AF" w14:textId="10C9357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1CF050AA" w14:textId="4068D53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4A53452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791AAC2"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2A50C565"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77B18356" w14:textId="0FCCD73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70087DAA" w14:textId="341474AD"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10C9D3AE" w14:textId="3F4ACFD8"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29CA6380" w14:textId="5AE28666"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667AF08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9A75AEE" w14:textId="3E213155"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34584476" w14:textId="157BF7F8"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Smart Savers</w:t>
            </w:r>
          </w:p>
        </w:tc>
        <w:tc>
          <w:tcPr>
            <w:tcW w:w="1260" w:type="dxa"/>
            <w:shd w:val="clear" w:color="auto" w:fill="B3D3FB" w:themeFill="text2" w:themeFillTint="33"/>
          </w:tcPr>
          <w:p w14:paraId="39474134" w14:textId="07B1E43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D9D35AA" w14:textId="445EE63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1320A96E" w14:textId="6607629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67109F60" w14:textId="0181A79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03BF0B7B" w14:textId="1E35657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3282CD9" w14:textId="65663CB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474D5F64" w14:textId="0124373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7E516201" w14:textId="1B21F79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1329C909" w14:textId="6CC6A12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45121DB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630B895D"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4CA1AD58"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7183ECC5" w14:textId="639BD85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6D1F3FAB" w14:textId="6D76049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62DA77EF" w14:textId="3CFDBE30"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7237EC8E" w14:textId="400FE62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0FACD15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56A6F72" w14:textId="13500197"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2F421A51" w14:textId="2DF7E6EF"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MHAS</w:t>
            </w:r>
          </w:p>
        </w:tc>
        <w:tc>
          <w:tcPr>
            <w:tcW w:w="1260" w:type="dxa"/>
            <w:shd w:val="clear" w:color="auto" w:fill="B3D3FB" w:themeFill="text2" w:themeFillTint="33"/>
          </w:tcPr>
          <w:p w14:paraId="15F86E38" w14:textId="4B85F86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76A9172F" w14:textId="51EEA6E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4FEB52CB" w14:textId="6C77FB4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11D4252B" w14:textId="486BD93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12A299EC" w14:textId="22699AF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02F7A82A" w14:textId="244266A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71FAF3ED" w14:textId="699F6DC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36CAC6F" w14:textId="395E16D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3B1FE6EE" w14:textId="6E0E65A3"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51EB12A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2384500"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03BBD5CA"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5805501E" w14:textId="35A74BA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5EDF6F68" w14:textId="4802FCC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CC1C0D3" w14:textId="0075F34A"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700F2289" w14:textId="4E8C8923"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512556CB"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73E7BBE9" w14:textId="68514828"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1C20DA86" w14:textId="61D72D55"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Healthier Homes</w:t>
            </w:r>
          </w:p>
        </w:tc>
        <w:tc>
          <w:tcPr>
            <w:tcW w:w="1260" w:type="dxa"/>
            <w:shd w:val="clear" w:color="auto" w:fill="B3D3FB" w:themeFill="text2" w:themeFillTint="33"/>
          </w:tcPr>
          <w:p w14:paraId="336C0A57" w14:textId="3D76EEB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52D58645" w14:textId="0314511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648CD6A9" w14:textId="6485FBA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A140A2F" w14:textId="342402A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3DD7590F" w14:textId="729408D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09805FD5" w14:textId="2ECFBD0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1CE91784" w14:textId="06420BE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537F214" w14:textId="06B91AB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3E4EBBE9" w14:textId="4D9C781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6D8BC0E5"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2573F69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6CC70FB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2BB39130" w14:textId="651765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22D5BBE0" w14:textId="1EB3718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7C954741" w14:textId="6C8AAA48"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05DB8260" w14:textId="6D979DB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4A0E37E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07F933F" w14:textId="04EE08F6"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5940A822" w14:textId="6C2C7330"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Electrification</w:t>
            </w:r>
          </w:p>
        </w:tc>
        <w:tc>
          <w:tcPr>
            <w:tcW w:w="1260" w:type="dxa"/>
            <w:shd w:val="clear" w:color="auto" w:fill="B3D3FB" w:themeFill="text2" w:themeFillTint="33"/>
          </w:tcPr>
          <w:p w14:paraId="207F0ECC" w14:textId="5A9DD41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456777E8" w14:textId="4731BFF4"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D6FEA48" w14:textId="4FBAAAA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97B8E52" w14:textId="62AADBA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40FA22D" w14:textId="4E13A4E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76CD6FA3" w14:textId="005B6A8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4240B182" w14:textId="0517E29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6E69447" w14:textId="5FD4E31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16D34FA5" w14:textId="105D215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43A33D57"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875089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6CD8A9A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4EF263F5" w14:textId="32A573ED"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43F18FA3" w14:textId="4264DE0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25202DB1" w14:textId="37AB5190"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5E85B218" w14:textId="16B1A24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348C5C2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E839C6B" w14:textId="7B2D18BD" w:rsidR="00B61EFC" w:rsidRPr="00237647" w:rsidRDefault="00B61EFC" w:rsidP="00B61EFC">
            <w:pPr>
              <w:pStyle w:val="TableLeftText"/>
              <w:rPr>
                <w:sz w:val="18"/>
                <w:szCs w:val="18"/>
              </w:rPr>
            </w:pPr>
            <w:r>
              <w:rPr>
                <w:rFonts w:cs="Calibri"/>
                <w:color w:val="4A4D56"/>
                <w:sz w:val="18"/>
                <w:szCs w:val="18"/>
              </w:rPr>
              <w:t xml:space="preserve">Income Qualified </w:t>
            </w:r>
          </w:p>
        </w:tc>
        <w:tc>
          <w:tcPr>
            <w:tcW w:w="2430" w:type="dxa"/>
            <w:shd w:val="clear" w:color="auto" w:fill="BFCEED" w:themeFill="accent1" w:themeFillTint="33"/>
          </w:tcPr>
          <w:p w14:paraId="3A14863E" w14:textId="04294419"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Carryover</w:t>
            </w:r>
          </w:p>
        </w:tc>
        <w:tc>
          <w:tcPr>
            <w:tcW w:w="1260" w:type="dxa"/>
            <w:shd w:val="clear" w:color="auto" w:fill="B3D3FB" w:themeFill="text2" w:themeFillTint="33"/>
          </w:tcPr>
          <w:p w14:paraId="406EDC67" w14:textId="27BE134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80A3A20" w14:textId="4E5ED92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B64CE3E" w14:textId="57BED0D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548FAAA" w14:textId="042698C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7BC512F0" w14:textId="4158BBB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2747075" w14:textId="0DC107E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580B084D" w14:textId="3FCF461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A4A5CF9" w14:textId="5385670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51DD7E9E" w14:textId="5A60ED8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394F5C2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48EF519"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6B5D8B0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7EAABE23" w14:textId="5502757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774D5300" w14:textId="2666E8E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6C7624CD" w14:textId="1A6817D4"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0B6ECBC8" w14:textId="73DDADF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1503B1C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07B7E2E4" w14:textId="58826F0B" w:rsidR="00B61EFC" w:rsidRPr="00237647" w:rsidRDefault="00B61EFC" w:rsidP="00B61EFC">
            <w:pPr>
              <w:pStyle w:val="TableLeftText"/>
              <w:rPr>
                <w:sz w:val="18"/>
                <w:szCs w:val="18"/>
              </w:rPr>
            </w:pPr>
            <w:r>
              <w:rPr>
                <w:rFonts w:cs="Calibri"/>
                <w:color w:val="4A4D56"/>
                <w:sz w:val="18"/>
                <w:szCs w:val="18"/>
              </w:rPr>
              <w:t xml:space="preserve">Multifamily </w:t>
            </w:r>
          </w:p>
        </w:tc>
        <w:tc>
          <w:tcPr>
            <w:tcW w:w="2430" w:type="dxa"/>
            <w:shd w:val="clear" w:color="auto" w:fill="BFCEED" w:themeFill="accent1" w:themeFillTint="33"/>
          </w:tcPr>
          <w:p w14:paraId="34880A70" w14:textId="32A1422A"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Income Qualified</w:t>
            </w:r>
          </w:p>
        </w:tc>
        <w:tc>
          <w:tcPr>
            <w:tcW w:w="1260" w:type="dxa"/>
            <w:shd w:val="clear" w:color="auto" w:fill="B3D3FB" w:themeFill="text2" w:themeFillTint="33"/>
          </w:tcPr>
          <w:p w14:paraId="62053AB6" w14:textId="1D8C504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7DAA31A7" w14:textId="7848D7D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53FD632" w14:textId="360EFE9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D08FFD2" w14:textId="4F316C2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D4B1C50" w14:textId="55AFAA9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258A212D" w14:textId="2B28C23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3F277558" w14:textId="4EC65E9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7CD7B12" w14:textId="4ECDF89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50F75407" w14:textId="081CAAB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3B5F7F5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9A5DF10"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4B6B3F34"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6C649849" w14:textId="5CC8381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6A332606" w14:textId="2B0AEA3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746979C" w14:textId="1DB45AC5"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7A3316EE" w14:textId="41F6374D"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36479B9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912D3D0" w14:textId="6F741162" w:rsidR="00B61EFC" w:rsidRDefault="00B61EFC" w:rsidP="00B61EFC">
            <w:pPr>
              <w:pStyle w:val="TableLeftText"/>
              <w:rPr>
                <w:rFonts w:cs="Calibri"/>
                <w:color w:val="4A4D56"/>
                <w:sz w:val="18"/>
                <w:szCs w:val="18"/>
              </w:rPr>
            </w:pPr>
            <w:r>
              <w:rPr>
                <w:rFonts w:cs="Calibri"/>
                <w:color w:val="4A4D56"/>
                <w:sz w:val="18"/>
                <w:szCs w:val="18"/>
              </w:rPr>
              <w:t xml:space="preserve">Multifamily </w:t>
            </w:r>
          </w:p>
        </w:tc>
        <w:tc>
          <w:tcPr>
            <w:tcW w:w="2430" w:type="dxa"/>
            <w:shd w:val="clear" w:color="auto" w:fill="BFCEED" w:themeFill="accent1" w:themeFillTint="33"/>
          </w:tcPr>
          <w:p w14:paraId="02547F13" w14:textId="52CBCB6B" w:rsidR="00B61E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Market Rate</w:t>
            </w:r>
          </w:p>
        </w:tc>
        <w:tc>
          <w:tcPr>
            <w:tcW w:w="1260" w:type="dxa"/>
            <w:shd w:val="clear" w:color="auto" w:fill="B3D3FB" w:themeFill="text2" w:themeFillTint="33"/>
          </w:tcPr>
          <w:p w14:paraId="7E9BAB5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3508B4E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A109E05"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5A8ADDB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1C687C4A"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6F74EF4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740D8E0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70E84C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13087ED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47F7C37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711BA1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4E1DD23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6917309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39B1220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B7306FC" w14:textId="77777777"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66DFE45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0C74056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714B378" w14:textId="6F47BA95" w:rsidR="00B61EFC" w:rsidRDefault="00B61EFC" w:rsidP="00B61EFC">
            <w:pPr>
              <w:pStyle w:val="TableLeftText"/>
              <w:rPr>
                <w:rFonts w:cs="Calibri"/>
                <w:color w:val="4A4D56"/>
                <w:sz w:val="18"/>
                <w:szCs w:val="18"/>
              </w:rPr>
            </w:pPr>
            <w:r>
              <w:rPr>
                <w:rFonts w:cs="Calibri"/>
                <w:color w:val="4A4D56"/>
                <w:sz w:val="18"/>
                <w:szCs w:val="18"/>
              </w:rPr>
              <w:t xml:space="preserve">Multifamily </w:t>
            </w:r>
          </w:p>
        </w:tc>
        <w:tc>
          <w:tcPr>
            <w:tcW w:w="2430" w:type="dxa"/>
            <w:shd w:val="clear" w:color="auto" w:fill="BFCEED" w:themeFill="accent1" w:themeFillTint="33"/>
          </w:tcPr>
          <w:p w14:paraId="0035E62D" w14:textId="2DCDE9DB" w:rsidR="00B61E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Public Housing</w:t>
            </w:r>
          </w:p>
        </w:tc>
        <w:tc>
          <w:tcPr>
            <w:tcW w:w="1260" w:type="dxa"/>
            <w:shd w:val="clear" w:color="auto" w:fill="B3D3FB" w:themeFill="text2" w:themeFillTint="33"/>
          </w:tcPr>
          <w:p w14:paraId="2ECC0F2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656F58D0"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BAF0A83"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5333376"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1849F0B0"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67A359F7"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00BF4442"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4AA3E3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5220A9B4"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4A1B43C5"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1303AD3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0F17F55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52CABFB"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3DCE82B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6789738" w14:textId="77777777"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4B4E0DCB"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32AE1B7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E639DAF" w14:textId="4F91369F" w:rsidR="00B61EFC" w:rsidRDefault="00B61EFC" w:rsidP="00B61EFC">
            <w:pPr>
              <w:pStyle w:val="TableLeftText"/>
              <w:rPr>
                <w:rFonts w:cs="Calibri"/>
                <w:color w:val="4A4D56"/>
                <w:sz w:val="18"/>
                <w:szCs w:val="18"/>
              </w:rPr>
            </w:pPr>
            <w:r>
              <w:rPr>
                <w:rFonts w:cs="Calibri"/>
                <w:color w:val="4A4D56"/>
                <w:sz w:val="18"/>
                <w:szCs w:val="18"/>
              </w:rPr>
              <w:t xml:space="preserve">Market Rate Single Family </w:t>
            </w:r>
          </w:p>
        </w:tc>
        <w:tc>
          <w:tcPr>
            <w:tcW w:w="2430" w:type="dxa"/>
            <w:shd w:val="clear" w:color="auto" w:fill="BFCEED" w:themeFill="accent1" w:themeFillTint="33"/>
          </w:tcPr>
          <w:p w14:paraId="3EA51033" w14:textId="10E95738" w:rsidR="00B61E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Midstream HVAC</w:t>
            </w:r>
          </w:p>
        </w:tc>
        <w:tc>
          <w:tcPr>
            <w:tcW w:w="1260" w:type="dxa"/>
            <w:shd w:val="clear" w:color="auto" w:fill="B3D3FB" w:themeFill="text2" w:themeFillTint="33"/>
          </w:tcPr>
          <w:p w14:paraId="5D6B554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9B2B1EB"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5760889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D66062B"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3E07614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3C2AFF50"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58916DD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5E2F9969"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631D35D9"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72A7A477"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245D52E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2B416013"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060F86A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1CAE8985"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6EDE71A7" w14:textId="77777777"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66BB18AA"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2105A21C"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EEF8E42" w14:textId="62C3B092" w:rsidR="00B61EFC" w:rsidRDefault="00B61EFC" w:rsidP="00B61EFC">
            <w:pPr>
              <w:pStyle w:val="TableLeftText"/>
              <w:rPr>
                <w:rFonts w:cs="Calibri"/>
                <w:color w:val="4A4D56"/>
                <w:sz w:val="18"/>
                <w:szCs w:val="18"/>
              </w:rPr>
            </w:pPr>
            <w:r>
              <w:rPr>
                <w:rFonts w:cs="Calibri"/>
                <w:color w:val="4A4D56"/>
                <w:sz w:val="18"/>
                <w:szCs w:val="18"/>
              </w:rPr>
              <w:t xml:space="preserve">Market Rate Single Family </w:t>
            </w:r>
          </w:p>
        </w:tc>
        <w:tc>
          <w:tcPr>
            <w:tcW w:w="2430" w:type="dxa"/>
            <w:shd w:val="clear" w:color="auto" w:fill="BFCEED" w:themeFill="accent1" w:themeFillTint="33"/>
          </w:tcPr>
          <w:p w14:paraId="57314AD3" w14:textId="0859B7D8" w:rsidR="00B61E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Midstream HVAC Market Effects</w:t>
            </w:r>
          </w:p>
        </w:tc>
        <w:tc>
          <w:tcPr>
            <w:tcW w:w="1260" w:type="dxa"/>
            <w:shd w:val="clear" w:color="auto" w:fill="B3D3FB" w:themeFill="text2" w:themeFillTint="33"/>
          </w:tcPr>
          <w:p w14:paraId="19105A1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235E0618"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691C8E59"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78DDF0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68B2ACB8"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2998F51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6C007DC7"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9E61B20"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3BAB80C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3D7735B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2153AF6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227BDB2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04943D5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460307D4"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D503132" w14:textId="77777777"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087C3B8F"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5D2229C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2311B5F" w14:textId="74EE9509" w:rsidR="00B61EFC" w:rsidRDefault="00B61EFC" w:rsidP="00B61EFC">
            <w:pPr>
              <w:pStyle w:val="TableLeftText"/>
              <w:rPr>
                <w:rFonts w:cs="Calibri"/>
                <w:color w:val="4A4D56"/>
                <w:sz w:val="18"/>
                <w:szCs w:val="18"/>
              </w:rPr>
            </w:pPr>
            <w:r>
              <w:rPr>
                <w:rFonts w:cs="Calibri"/>
                <w:color w:val="4A4D56"/>
                <w:sz w:val="18"/>
                <w:szCs w:val="18"/>
              </w:rPr>
              <w:t xml:space="preserve">Market Rate Single Family </w:t>
            </w:r>
          </w:p>
        </w:tc>
        <w:tc>
          <w:tcPr>
            <w:tcW w:w="2430" w:type="dxa"/>
            <w:shd w:val="clear" w:color="auto" w:fill="BFCEED" w:themeFill="accent1" w:themeFillTint="33"/>
          </w:tcPr>
          <w:p w14:paraId="50F3CFFF" w14:textId="7FD8639D" w:rsidR="00B61E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Home Efficiency</w:t>
            </w:r>
          </w:p>
        </w:tc>
        <w:tc>
          <w:tcPr>
            <w:tcW w:w="1260" w:type="dxa"/>
            <w:shd w:val="clear" w:color="auto" w:fill="B3D3FB" w:themeFill="text2" w:themeFillTint="33"/>
          </w:tcPr>
          <w:p w14:paraId="347F443A"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11692FB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B57BC93"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FE9FF03"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0EE8E4F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17A5A20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484540B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23D01DA6"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020E1E2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72A6B3F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0543FF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3B25C629"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332FE2E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4F21394C"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489FEFFA" w14:textId="77777777"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3AC61BB8"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1B3A5AA1"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9C903BA" w14:textId="64A0A20A"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3FA0D2E2" w14:textId="0C356D3D"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Full School Kits</w:t>
            </w:r>
          </w:p>
        </w:tc>
        <w:tc>
          <w:tcPr>
            <w:tcW w:w="1260" w:type="dxa"/>
            <w:shd w:val="clear" w:color="auto" w:fill="B3D3FB" w:themeFill="text2" w:themeFillTint="33"/>
          </w:tcPr>
          <w:p w14:paraId="17C6F98D" w14:textId="387C525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47605AB5" w14:textId="41BADB5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5684AC57" w14:textId="613ECFE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AD47699" w14:textId="77FDDE1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03D6A221" w14:textId="6A37C14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5C167798" w14:textId="67F2D73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64F6F77B" w14:textId="0C85113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1810DC9" w14:textId="0A3774B6"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7EFACBA1" w14:textId="1169283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7662EA2D"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BBEC8F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712FA47B"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4BC60835" w14:textId="1B36690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0735A71C" w14:textId="04285AF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0588616" w14:textId="6E67189E"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4F1CB436" w14:textId="2AF0AE9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7E35A0A1"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8B39241" w14:textId="0C0AC7A4"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0BFE9132" w14:textId="615A0235"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Joint Utility School Kits</w:t>
            </w:r>
          </w:p>
        </w:tc>
        <w:tc>
          <w:tcPr>
            <w:tcW w:w="1260" w:type="dxa"/>
            <w:shd w:val="clear" w:color="auto" w:fill="B3D3FB" w:themeFill="text2" w:themeFillTint="33"/>
          </w:tcPr>
          <w:p w14:paraId="4014ECE0" w14:textId="153D1E9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DD032AD" w14:textId="513C66B5"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373506DE" w14:textId="5562FAC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8553B68" w14:textId="47319D0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48D4C691" w14:textId="4D72C663"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25D294F3" w14:textId="79DA79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1AA8F3D0" w14:textId="4B1B856D"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5E9E3B9E" w14:textId="4B9FC37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7761FA0E" w14:textId="1D1BB94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4C2ED3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514044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2BF48D01"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5FD23335" w14:textId="6147DDF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1E035BE9" w14:textId="14CEEC3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01E9C374" w14:textId="234B24C9"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7FFBE964" w14:textId="146FE25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19482BC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A6048A1" w14:textId="69D170C9"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0ACF4A58" w14:textId="20C345B3"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High School Innovation</w:t>
            </w:r>
          </w:p>
        </w:tc>
        <w:tc>
          <w:tcPr>
            <w:tcW w:w="1260" w:type="dxa"/>
            <w:shd w:val="clear" w:color="auto" w:fill="B3D3FB" w:themeFill="text2" w:themeFillTint="33"/>
          </w:tcPr>
          <w:p w14:paraId="4D63BD21" w14:textId="29DAC5FD"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065B6672" w14:textId="5C14ED2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B75D384" w14:textId="639812C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2406051" w14:textId="279D9634"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ABBFCE3" w14:textId="64D3ACEB"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08E154E1" w14:textId="6E44EA0B"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4781E8FF" w14:textId="1868244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DD44D63" w14:textId="6F151F8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34A9A522" w14:textId="6C64B8DE"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6B30DED8"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4CE1E7F9"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118D1DB1"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6DB8C7CB" w14:textId="7717F02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64D5B54C" w14:textId="45194FD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5991CDE" w14:textId="7233B7A6"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0DF55EF2" w14:textId="64CB9C3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53D3BD5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00C43E2C" w14:textId="353D3A8D"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0391DF67" w14:textId="49A1E412"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Income Qualified Community Kits</w:t>
            </w:r>
          </w:p>
        </w:tc>
        <w:tc>
          <w:tcPr>
            <w:tcW w:w="1260" w:type="dxa"/>
            <w:shd w:val="clear" w:color="auto" w:fill="B3D3FB" w:themeFill="text2" w:themeFillTint="33"/>
          </w:tcPr>
          <w:p w14:paraId="0E34157D" w14:textId="147CAE80"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F291BAE" w14:textId="1C3410F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6717D6C7" w14:textId="41E2286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18978A5B" w14:textId="6AD3293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08A3746B" w14:textId="108C20C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01B5D88F" w14:textId="4D4FFC3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38419574" w14:textId="7B6E30B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70F6320" w14:textId="60BE311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345AA741" w14:textId="5497DB20"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14CF4048"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6DE1D18F"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0B315F20"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001B11FD" w14:textId="28C97B9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298DD5B4" w14:textId="23B9C50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414C161C" w14:textId="5E8EB4C5"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1EF90F7C" w14:textId="48EA4610"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0205879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7D12D23F" w14:textId="2E1C1061"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5618A476" w14:textId="5F84E3D5"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Mobile Home Kits</w:t>
            </w:r>
          </w:p>
        </w:tc>
        <w:tc>
          <w:tcPr>
            <w:tcW w:w="1260" w:type="dxa"/>
            <w:shd w:val="clear" w:color="auto" w:fill="B3D3FB" w:themeFill="text2" w:themeFillTint="33"/>
          </w:tcPr>
          <w:p w14:paraId="0A6A1A2A" w14:textId="347CBFBB"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237A61D3" w14:textId="2CEDA91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907A7B5" w14:textId="34F4C31B"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5B98C3E" w14:textId="2F2EE430"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A45F6EC" w14:textId="6DFD72ED"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491E91C0" w14:textId="045FE5B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34CA60AC" w14:textId="469CB1D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2EB6BDE" w14:textId="4AB96D23"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2C960522" w14:textId="744D0B5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124FA8E5"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150F0DDE"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7D93CBB8"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9FB5C63" w14:textId="0FC7852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2B141643" w14:textId="70B5F6BC"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CA6C914" w14:textId="292AF998"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657CDBB4" w14:textId="0E3F304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2E711552"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930A293" w14:textId="1C860857"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49D9A3A4" w14:textId="170EE321"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BN Kits</w:t>
            </w:r>
          </w:p>
        </w:tc>
        <w:tc>
          <w:tcPr>
            <w:tcW w:w="1260" w:type="dxa"/>
            <w:shd w:val="clear" w:color="auto" w:fill="B3D3FB" w:themeFill="text2" w:themeFillTint="33"/>
          </w:tcPr>
          <w:p w14:paraId="3D67AAF0" w14:textId="2717BDD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4D15834B" w14:textId="13DD2D1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4D5AA05F" w14:textId="0C40252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8C74B55" w14:textId="6893E189"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00A1C829" w14:textId="296D7E52"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9887CEC" w14:textId="44C089A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642D5422" w14:textId="1FBA2F9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A017EF5" w14:textId="48AC9418"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66705857" w14:textId="06676C2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7EF9EB8D"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54CE7A48"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1035F1F4"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008FD04C" w14:textId="1A8F4C1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28369EFF" w14:textId="2B1688EA"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27E56A2" w14:textId="5A37D5EB"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53CE5A75" w14:textId="30D443B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0EEFB4C4"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34BA3F6" w14:textId="08466520"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47DDDE8C" w14:textId="5BE2A9B4" w:rsidR="00B61EFC" w:rsidRPr="00237647"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Food Bank Holiday Kits</w:t>
            </w:r>
          </w:p>
        </w:tc>
        <w:tc>
          <w:tcPr>
            <w:tcW w:w="1260" w:type="dxa"/>
            <w:shd w:val="clear" w:color="auto" w:fill="B3D3FB" w:themeFill="text2" w:themeFillTint="33"/>
          </w:tcPr>
          <w:p w14:paraId="25AF73F5" w14:textId="5CD4F6D5"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57004256" w14:textId="7DF28B3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FFDD042" w14:textId="3DDDB842"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72B46DA" w14:textId="69B41D8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249C8A1" w14:textId="0BB995CA"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03A27B25" w14:textId="4D247C18"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0B5AE5D4" w14:textId="704CCB6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92FB003" w14:textId="7A4626D6"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75802D31" w14:textId="70FB7861"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5152A34A"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A4F3CB3"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7CD891AA" w14:textId="77777777"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1B592384" w14:textId="020E12FF"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45B44310" w14:textId="4FFB984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2F7D9AEC" w14:textId="6F274128" w:rsidR="00B61EFC" w:rsidRPr="00237647"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00AD2EF9" w14:textId="54DAF649" w:rsidR="00B61EFC" w:rsidRPr="00237647"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145FA6EB"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CF6806C" w14:textId="7564380D" w:rsidR="00B61EFC" w:rsidRPr="00237647" w:rsidRDefault="00B61EFC" w:rsidP="00B61EFC">
            <w:pPr>
              <w:pStyle w:val="TableLeftText"/>
              <w:rPr>
                <w:sz w:val="18"/>
                <w:szCs w:val="18"/>
              </w:rPr>
            </w:pPr>
            <w:r>
              <w:rPr>
                <w:rFonts w:cs="Calibri"/>
                <w:color w:val="4A4D56"/>
                <w:sz w:val="18"/>
                <w:szCs w:val="18"/>
              </w:rPr>
              <w:t xml:space="preserve">Kits </w:t>
            </w:r>
          </w:p>
        </w:tc>
        <w:tc>
          <w:tcPr>
            <w:tcW w:w="2430" w:type="dxa"/>
            <w:shd w:val="clear" w:color="auto" w:fill="BFCEED" w:themeFill="accent1" w:themeFillTint="33"/>
          </w:tcPr>
          <w:p w14:paraId="37A97D93" w14:textId="15845B06" w:rsidR="00B61EFC" w:rsidRPr="00237647"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Carryover</w:t>
            </w:r>
          </w:p>
        </w:tc>
        <w:tc>
          <w:tcPr>
            <w:tcW w:w="1260" w:type="dxa"/>
            <w:shd w:val="clear" w:color="auto" w:fill="B3D3FB" w:themeFill="text2" w:themeFillTint="33"/>
          </w:tcPr>
          <w:p w14:paraId="7C43336C" w14:textId="595A1EE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3918B59D" w14:textId="32754EBB"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3FC19C9" w14:textId="50283B3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7975EE03" w14:textId="7A70B04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3C38D98F" w14:textId="2585007E"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6BFF0F26" w14:textId="1740A19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32F51A98" w14:textId="4696838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00A0161" w14:textId="5D55FB4C"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1AE396A5" w14:textId="30057B3F"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2816F875"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144670AE"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1620" w:type="dxa"/>
            <w:shd w:val="clear" w:color="auto" w:fill="E5E5F2" w:themeFill="accent4" w:themeFillTint="33"/>
          </w:tcPr>
          <w:p w14:paraId="6D5D8452" w14:textId="77777777"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37AA3813" w14:textId="24FD99E4"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1835F52A" w14:textId="0FF78031"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690B11F0" w14:textId="473323F6" w:rsidR="00B61EFC" w:rsidRPr="00237647"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68BC218A" w14:textId="710E2876" w:rsidR="00B61EFC" w:rsidRPr="00237647"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19360C" w:rsidRPr="006629DB" w14:paraId="6B1C168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585" w:type="dxa"/>
            <w:gridSpan w:val="2"/>
            <w:shd w:val="clear" w:color="auto" w:fill="BFCEED" w:themeFill="accent1" w:themeFillTint="33"/>
          </w:tcPr>
          <w:p w14:paraId="0640E322" w14:textId="77777777" w:rsidR="00067DBC" w:rsidRPr="00237647" w:rsidRDefault="00067DBC" w:rsidP="002C7F49">
            <w:pPr>
              <w:pStyle w:val="TableLeftText"/>
              <w:rPr>
                <w:sz w:val="18"/>
                <w:szCs w:val="18"/>
              </w:rPr>
            </w:pPr>
            <w:r w:rsidRPr="00237647">
              <w:rPr>
                <w:sz w:val="18"/>
                <w:szCs w:val="18"/>
              </w:rPr>
              <w:t>Residential NPSO Adder</w:t>
            </w:r>
          </w:p>
        </w:tc>
        <w:tc>
          <w:tcPr>
            <w:tcW w:w="1260" w:type="dxa"/>
            <w:shd w:val="clear" w:color="auto" w:fill="B3D3FB" w:themeFill="text2" w:themeFillTint="33"/>
          </w:tcPr>
          <w:p w14:paraId="025633D9" w14:textId="241F2D43"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400FAA8E" w14:textId="551F12C0"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40ECF33" w14:textId="123D4F7C"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72F9831" w14:textId="05B88119"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37EE6046" w14:textId="2E7CD307"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4EF03A6A" w14:textId="49752798"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70FDDE4E" w14:textId="1DAB2347"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6464275" w14:textId="7181DA93"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6070608A" w14:textId="36C2FD72"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52346666" w14:textId="0937A509"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F492FD8" w14:textId="7F4EB30B"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620" w:type="dxa"/>
            <w:shd w:val="clear" w:color="auto" w:fill="E5E5F2" w:themeFill="accent4" w:themeFillTint="33"/>
          </w:tcPr>
          <w:p w14:paraId="75BD54AC" w14:textId="621CA0B9"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7B663734" w14:textId="2C48060B"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1B60B550" w14:textId="37AE1428"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6818756F" w14:textId="23DEDC17" w:rsidR="00067DBC" w:rsidRPr="00237647" w:rsidRDefault="00067DBC" w:rsidP="002C7F49">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0D5E0615" w14:textId="5E3B4BFC" w:rsidR="00067DBC" w:rsidRPr="00237647"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527D83B1"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Borders>
              <w:right w:val="nil"/>
            </w:tcBorders>
            <w:shd w:val="clear" w:color="auto" w:fill="4A4D56" w:themeFill="text1"/>
          </w:tcPr>
          <w:p w14:paraId="2F998DD7" w14:textId="77777777" w:rsidR="00067DBC" w:rsidRPr="000564FC" w:rsidRDefault="00067DBC" w:rsidP="00B61EFC">
            <w:pPr>
              <w:pStyle w:val="TableLeftText"/>
              <w:keepNext/>
              <w:keepLines/>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Business Program</w:t>
            </w:r>
          </w:p>
        </w:tc>
        <w:tc>
          <w:tcPr>
            <w:tcW w:w="2430" w:type="dxa"/>
            <w:tcBorders>
              <w:left w:val="nil"/>
              <w:right w:val="nil"/>
            </w:tcBorders>
            <w:shd w:val="clear" w:color="auto" w:fill="4A4D56" w:themeFill="text1"/>
          </w:tcPr>
          <w:p w14:paraId="30E3458D" w14:textId="77777777" w:rsidR="00067DBC" w:rsidRPr="000564FC" w:rsidRDefault="00067DBC" w:rsidP="00B61EFC">
            <w:pPr>
              <w:pStyle w:val="TableLeft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19F000E6"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tcBorders>
              <w:left w:val="nil"/>
              <w:right w:val="nil"/>
            </w:tcBorders>
            <w:shd w:val="clear" w:color="auto" w:fill="4A4D56" w:themeFill="text1"/>
          </w:tcPr>
          <w:p w14:paraId="275F46C1"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0D2A33BB"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270F49B4"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nil"/>
              <w:right w:val="nil"/>
            </w:tcBorders>
            <w:shd w:val="clear" w:color="auto" w:fill="4A4D56" w:themeFill="text1"/>
          </w:tcPr>
          <w:p w14:paraId="108B3DC8"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left w:val="nil"/>
              <w:right w:val="nil"/>
            </w:tcBorders>
            <w:shd w:val="clear" w:color="auto" w:fill="4A4D56" w:themeFill="text1"/>
          </w:tcPr>
          <w:p w14:paraId="48CDEEC2"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tcBorders>
              <w:left w:val="nil"/>
              <w:right w:val="nil"/>
            </w:tcBorders>
            <w:shd w:val="clear" w:color="auto" w:fill="4A4D56" w:themeFill="text1"/>
          </w:tcPr>
          <w:p w14:paraId="1F4D5ECC"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763A752C"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nil"/>
              <w:right w:val="nil"/>
            </w:tcBorders>
            <w:shd w:val="clear" w:color="auto" w:fill="4A4D56" w:themeFill="text1"/>
          </w:tcPr>
          <w:p w14:paraId="3BAE1A9C"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tcBorders>
              <w:left w:val="nil"/>
              <w:right w:val="nil"/>
            </w:tcBorders>
            <w:shd w:val="clear" w:color="auto" w:fill="4A4D56" w:themeFill="text1"/>
          </w:tcPr>
          <w:p w14:paraId="213FB5CE"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Borders>
              <w:left w:val="nil"/>
              <w:right w:val="nil"/>
            </w:tcBorders>
            <w:shd w:val="clear" w:color="auto" w:fill="4A4D56" w:themeFill="text1"/>
          </w:tcPr>
          <w:p w14:paraId="242E5F3A"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tcBorders>
              <w:left w:val="nil"/>
              <w:right w:val="nil"/>
            </w:tcBorders>
            <w:shd w:val="clear" w:color="auto" w:fill="4A4D56" w:themeFill="text1"/>
          </w:tcPr>
          <w:p w14:paraId="2208012C"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tcBorders>
              <w:left w:val="nil"/>
              <w:right w:val="nil"/>
            </w:tcBorders>
            <w:shd w:val="clear" w:color="auto" w:fill="4A4D56" w:themeFill="text1"/>
          </w:tcPr>
          <w:p w14:paraId="2821CB4E"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tcBorders>
              <w:left w:val="nil"/>
              <w:right w:val="nil"/>
            </w:tcBorders>
            <w:shd w:val="clear" w:color="auto" w:fill="4A4D56" w:themeFill="text1"/>
          </w:tcPr>
          <w:p w14:paraId="33812C67"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tcBorders>
              <w:left w:val="nil"/>
              <w:right w:val="nil"/>
            </w:tcBorders>
            <w:shd w:val="clear" w:color="auto" w:fill="4A4D56" w:themeFill="text1"/>
          </w:tcPr>
          <w:p w14:paraId="7D9146AD"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Borders>
              <w:left w:val="nil"/>
            </w:tcBorders>
            <w:shd w:val="clear" w:color="auto" w:fill="4A4D56" w:themeFill="text1"/>
          </w:tcPr>
          <w:p w14:paraId="49516431" w14:textId="77777777" w:rsidR="00067DBC" w:rsidRPr="000564FC" w:rsidRDefault="00067DBC" w:rsidP="00B61EFC">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r>
      <w:tr w:rsidR="0019360C" w:rsidRPr="006629DB" w14:paraId="621D7441"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3431F99D" w14:textId="77777777" w:rsidR="00067DBC" w:rsidRPr="000564FC" w:rsidRDefault="00067DBC" w:rsidP="00B61EFC">
            <w:pPr>
              <w:pStyle w:val="TableLeftText"/>
              <w:keepNext/>
              <w:keepLines/>
              <w:rPr>
                <w:sz w:val="18"/>
                <w:szCs w:val="18"/>
              </w:rPr>
            </w:pPr>
            <w:r>
              <w:rPr>
                <w:rFonts w:cs="Calibri"/>
                <w:color w:val="4A4D56"/>
                <w:sz w:val="18"/>
                <w:szCs w:val="18"/>
              </w:rPr>
              <w:t>Standard</w:t>
            </w:r>
          </w:p>
        </w:tc>
        <w:tc>
          <w:tcPr>
            <w:tcW w:w="2430" w:type="dxa"/>
            <w:shd w:val="clear" w:color="auto" w:fill="BFCEED" w:themeFill="accent1" w:themeFillTint="33"/>
          </w:tcPr>
          <w:p w14:paraId="7C41CD7B" w14:textId="77777777" w:rsidR="00067DBC" w:rsidRPr="000564FC" w:rsidRDefault="00067DBC" w:rsidP="00B61EFC">
            <w:pPr>
              <w:pStyle w:val="TableLeftText"/>
              <w:keepNext/>
              <w:keepLines/>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Core</w:t>
            </w:r>
          </w:p>
        </w:tc>
        <w:tc>
          <w:tcPr>
            <w:tcW w:w="1260" w:type="dxa"/>
            <w:shd w:val="clear" w:color="auto" w:fill="B3D3FB" w:themeFill="text2" w:themeFillTint="33"/>
          </w:tcPr>
          <w:p w14:paraId="0374D289" w14:textId="6FA224CA"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33BD8625" w14:textId="3E983125"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8D01203" w14:textId="707B206F"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14FA507" w14:textId="717A00BC"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77AD043" w14:textId="0EABD794"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1D948890" w14:textId="15202EB0"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6647B734" w14:textId="621D3251"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684C3D40" w14:textId="0253C0EF"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4FD6A7A7" w14:textId="7AF0C8C9"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78EA7E9E" w14:textId="7FC31B07"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7086224" w14:textId="202D2A79"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7A9EAE6" w14:textId="6EC1E9A4"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4CA56201" w14:textId="558BC99A"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7FADA24A" w14:textId="3AB8907C"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3380098" w14:textId="2F506828" w:rsidR="00067DBC" w:rsidRPr="000564FC" w:rsidRDefault="00067DBC" w:rsidP="00B61EFC">
            <w:pPr>
              <w:pStyle w:val="TableCenterText"/>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567BB00B" w14:textId="68D4305E" w:rsidR="00067DBC" w:rsidRPr="000564FC" w:rsidRDefault="00067DBC" w:rsidP="00B61EFC">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51BECB6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F01CEC9" w14:textId="77777777" w:rsidR="00067DBC" w:rsidRPr="000564FC" w:rsidRDefault="00067DBC" w:rsidP="002C7F49">
            <w:pPr>
              <w:pStyle w:val="TableLeftText"/>
              <w:rPr>
                <w:sz w:val="18"/>
                <w:szCs w:val="18"/>
              </w:rPr>
            </w:pPr>
            <w:r>
              <w:rPr>
                <w:rFonts w:cs="Calibri"/>
                <w:color w:val="4A4D56"/>
                <w:sz w:val="18"/>
                <w:szCs w:val="18"/>
              </w:rPr>
              <w:t>Standard</w:t>
            </w:r>
          </w:p>
        </w:tc>
        <w:tc>
          <w:tcPr>
            <w:tcW w:w="2430" w:type="dxa"/>
            <w:shd w:val="clear" w:color="auto" w:fill="BFCEED" w:themeFill="accent1" w:themeFillTint="33"/>
          </w:tcPr>
          <w:p w14:paraId="2366C173" w14:textId="77777777" w:rsidR="00067DBC" w:rsidRPr="000564FC" w:rsidRDefault="00067DBC" w:rsidP="002C7F49">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Online Store</w:t>
            </w:r>
          </w:p>
        </w:tc>
        <w:tc>
          <w:tcPr>
            <w:tcW w:w="1260" w:type="dxa"/>
            <w:shd w:val="clear" w:color="auto" w:fill="B3D3FB" w:themeFill="text2" w:themeFillTint="33"/>
          </w:tcPr>
          <w:p w14:paraId="381816BE" w14:textId="75F3AD36"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0F2D592F" w14:textId="7AD91B27"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59C3119A" w14:textId="5DB16E16"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B871D42" w14:textId="503D60A5"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797A3E6C" w14:textId="1946E7F5"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61B9A015" w14:textId="2A805B9A"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293F205E" w14:textId="0F4378DC"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75C98EB6" w14:textId="44D7361B"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5074D0C8" w14:textId="05591069"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2C7A5B74" w14:textId="058974F8"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6D133FF6" w14:textId="5D970436"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1689C3DF" w14:textId="6712F6E8"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3E2BED19" w14:textId="666FB8D7"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36339C91" w14:textId="3B55D240"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750A4143" w14:textId="1D82BB3D" w:rsidR="00067DBC" w:rsidRPr="000564FC" w:rsidRDefault="00067DBC" w:rsidP="002C7F49">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25769855" w14:textId="3A6A5D1C"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19360C" w:rsidRPr="006629DB" w14:paraId="2B24FEA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1F8EC035" w14:textId="77777777" w:rsidR="00067DBC" w:rsidRPr="000564FC" w:rsidRDefault="00067DBC" w:rsidP="002C7F49">
            <w:pPr>
              <w:pStyle w:val="TableLeftText"/>
              <w:rPr>
                <w:sz w:val="18"/>
                <w:szCs w:val="18"/>
              </w:rPr>
            </w:pPr>
            <w:r>
              <w:rPr>
                <w:rFonts w:cs="Calibri"/>
                <w:color w:val="4A4D56"/>
                <w:sz w:val="18"/>
                <w:szCs w:val="18"/>
              </w:rPr>
              <w:t>Standard</w:t>
            </w:r>
          </w:p>
        </w:tc>
        <w:tc>
          <w:tcPr>
            <w:tcW w:w="2430" w:type="dxa"/>
            <w:shd w:val="clear" w:color="auto" w:fill="BFCEED" w:themeFill="accent1" w:themeFillTint="33"/>
          </w:tcPr>
          <w:p w14:paraId="42708027" w14:textId="77777777" w:rsidR="00067DBC" w:rsidRPr="000564FC" w:rsidRDefault="00067DBC" w:rsidP="002C7F49">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BOC</w:t>
            </w:r>
          </w:p>
        </w:tc>
        <w:tc>
          <w:tcPr>
            <w:tcW w:w="1260" w:type="dxa"/>
            <w:shd w:val="clear" w:color="auto" w:fill="B3D3FB" w:themeFill="text2" w:themeFillTint="33"/>
          </w:tcPr>
          <w:p w14:paraId="70F13C45" w14:textId="52E3FAF8"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71A216AE" w14:textId="1582B845"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24CF58A" w14:textId="08E35D66"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D74915E" w14:textId="20877D6C"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4BF97BB8" w14:textId="7BDB20D5"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3D0C2101" w14:textId="4EB7CA5D"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155AF111" w14:textId="0D45ED93"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5CDEDA83" w14:textId="1610602A"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6C71BC6A" w14:textId="7188542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62560CC4" w14:textId="405AAC14"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1A34A887" w14:textId="20503700"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131F70A" w14:textId="797F363A"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4DF3D16" w14:textId="6E8B852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2337319C" w14:textId="55887208"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1777057E" w14:textId="290C3CE2" w:rsidR="00067DBC" w:rsidRPr="000564FC" w:rsidRDefault="00067DBC" w:rsidP="002C7F49">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4C1A61C1" w14:textId="2048EF2C"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46AFEC9B"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54B43AF" w14:textId="77777777" w:rsidR="00067DBC" w:rsidRPr="000564FC" w:rsidRDefault="00067DBC" w:rsidP="002C7F49">
            <w:pPr>
              <w:pStyle w:val="TableLeftText"/>
              <w:rPr>
                <w:sz w:val="18"/>
                <w:szCs w:val="18"/>
              </w:rPr>
            </w:pPr>
            <w:r>
              <w:rPr>
                <w:rFonts w:cs="Calibri"/>
                <w:color w:val="4A4D56"/>
                <w:sz w:val="18"/>
                <w:szCs w:val="18"/>
              </w:rPr>
              <w:t>Custom</w:t>
            </w:r>
          </w:p>
        </w:tc>
        <w:tc>
          <w:tcPr>
            <w:tcW w:w="2430" w:type="dxa"/>
            <w:shd w:val="clear" w:color="auto" w:fill="BFCEED" w:themeFill="accent1" w:themeFillTint="33"/>
          </w:tcPr>
          <w:p w14:paraId="73706EAE" w14:textId="77777777" w:rsidR="00067DBC" w:rsidRPr="000564FC" w:rsidRDefault="00067DBC" w:rsidP="002C7F49">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Custom Incentives</w:t>
            </w:r>
          </w:p>
        </w:tc>
        <w:tc>
          <w:tcPr>
            <w:tcW w:w="1260" w:type="dxa"/>
            <w:shd w:val="clear" w:color="auto" w:fill="B3D3FB" w:themeFill="text2" w:themeFillTint="33"/>
          </w:tcPr>
          <w:p w14:paraId="3B530ECF" w14:textId="5ABA68BF"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C6BEFF1" w14:textId="2D6D71FB"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53E0DB19" w14:textId="56A5B068"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7442334F" w14:textId="32F0B03C"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2AB746C0" w14:textId="1EF83407"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542200B3" w14:textId="49F6DFE5"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3781C1C6" w14:textId="3F76C1D5"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7F38E3E" w14:textId="3DA6B4E6"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25A494AD" w14:textId="776D7822"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35E87482" w14:textId="064746A2"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1CA79E4" w14:textId="1ECBAA0C"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3FB2F16D" w14:textId="6C65F743"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4EE4B505" w14:textId="0C387179"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3701532A" w14:textId="6D5C626A"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48E03DA3" w14:textId="5361E35E" w:rsidR="00067DBC" w:rsidRPr="000564FC" w:rsidRDefault="00067DBC" w:rsidP="002C7F49">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5DA965B6" w14:textId="0F1FD603" w:rsidR="00067DBC" w:rsidRPr="000564FC" w:rsidRDefault="00067DBC" w:rsidP="002C7F49">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19360C" w:rsidRPr="006629DB" w14:paraId="7BC5C614"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614C8F4" w14:textId="77777777" w:rsidR="00067DBC" w:rsidRPr="000564FC" w:rsidRDefault="00067DBC" w:rsidP="002C7F49">
            <w:pPr>
              <w:pStyle w:val="TableLeftText"/>
              <w:rPr>
                <w:sz w:val="18"/>
                <w:szCs w:val="18"/>
              </w:rPr>
            </w:pPr>
            <w:r>
              <w:rPr>
                <w:rFonts w:cs="Calibri"/>
                <w:color w:val="4A4D56"/>
                <w:sz w:val="18"/>
                <w:szCs w:val="18"/>
              </w:rPr>
              <w:t>Custom</w:t>
            </w:r>
          </w:p>
        </w:tc>
        <w:tc>
          <w:tcPr>
            <w:tcW w:w="2430" w:type="dxa"/>
            <w:shd w:val="clear" w:color="auto" w:fill="BFCEED" w:themeFill="accent1" w:themeFillTint="33"/>
          </w:tcPr>
          <w:p w14:paraId="466E1FE4" w14:textId="77777777" w:rsidR="00067DBC" w:rsidRPr="000564FC" w:rsidRDefault="00067DBC" w:rsidP="002C7F49">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New Construction Lighting</w:t>
            </w:r>
          </w:p>
        </w:tc>
        <w:tc>
          <w:tcPr>
            <w:tcW w:w="1260" w:type="dxa"/>
            <w:shd w:val="clear" w:color="auto" w:fill="B3D3FB" w:themeFill="text2" w:themeFillTint="33"/>
          </w:tcPr>
          <w:p w14:paraId="09CA5336" w14:textId="6CC8BE4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31E6E8E1" w14:textId="3E375BC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280C44D" w14:textId="785DB6B6"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0F7792B" w14:textId="2E1F0DB5"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0F02D21" w14:textId="0E2EA28F"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290038E9" w14:textId="711D5ABB"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08940808" w14:textId="0F02951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204D607" w14:textId="43CF9E8E"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7E938A14" w14:textId="58BC1DC9"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7D2522AA" w14:textId="18B0FBE4"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14AFC846" w14:textId="70EB949B"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6A2EA4A" w14:textId="25A9749E"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302EFF4" w14:textId="64C64748"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42BC19AA" w14:textId="3B6675E9"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531672C" w14:textId="181A1363" w:rsidR="00067DBC" w:rsidRPr="000564FC" w:rsidRDefault="00067DBC" w:rsidP="002C7F49">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134FE9B7" w14:textId="3C515AED"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1E66696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A571473" w14:textId="16806999" w:rsidR="00B61EFC" w:rsidRDefault="00B61EFC" w:rsidP="00B61EFC">
            <w:pPr>
              <w:pStyle w:val="TableLeftText"/>
              <w:rPr>
                <w:rFonts w:cs="Calibri"/>
                <w:color w:val="4A4D56"/>
                <w:sz w:val="18"/>
                <w:szCs w:val="18"/>
              </w:rPr>
            </w:pPr>
            <w:r>
              <w:rPr>
                <w:rFonts w:cs="Calibri"/>
                <w:color w:val="4A4D56"/>
                <w:sz w:val="18"/>
                <w:szCs w:val="18"/>
              </w:rPr>
              <w:t>Retro-Commissioning</w:t>
            </w:r>
          </w:p>
        </w:tc>
        <w:tc>
          <w:tcPr>
            <w:tcW w:w="2430" w:type="dxa"/>
            <w:shd w:val="clear" w:color="auto" w:fill="BFCEED" w:themeFill="accent1" w:themeFillTint="33"/>
          </w:tcPr>
          <w:p w14:paraId="29B85F50" w14:textId="4E747D70" w:rsidR="00B61E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Core</w:t>
            </w:r>
          </w:p>
        </w:tc>
        <w:tc>
          <w:tcPr>
            <w:tcW w:w="1260" w:type="dxa"/>
            <w:shd w:val="clear" w:color="auto" w:fill="B3D3FB" w:themeFill="text2" w:themeFillTint="33"/>
          </w:tcPr>
          <w:p w14:paraId="212D4A3E"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6185FF9E"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6CAC3B18"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663FABC"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6496D13E"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08E6144A"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7DA50969"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F66F9A1"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6C837252"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9C5B605"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0E4859C"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9E65017"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739B78D1"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2E76D5E6"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1FF8A8A8" w14:textId="77777777"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216AEF2E" w14:textId="7777777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679FF73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6D4CDABC" w14:textId="77777777" w:rsidR="00B61EFC" w:rsidRPr="000564FC" w:rsidRDefault="00B61EFC" w:rsidP="00B61EFC">
            <w:pPr>
              <w:pStyle w:val="TableLeftText"/>
              <w:rPr>
                <w:sz w:val="18"/>
                <w:szCs w:val="18"/>
              </w:rPr>
            </w:pPr>
            <w:r>
              <w:rPr>
                <w:rFonts w:cs="Calibri"/>
                <w:color w:val="4A4D56"/>
                <w:sz w:val="18"/>
                <w:szCs w:val="18"/>
              </w:rPr>
              <w:t>Retro-Commissioning</w:t>
            </w:r>
          </w:p>
        </w:tc>
        <w:tc>
          <w:tcPr>
            <w:tcW w:w="2430" w:type="dxa"/>
            <w:shd w:val="clear" w:color="auto" w:fill="BFCEED" w:themeFill="accent1" w:themeFillTint="33"/>
          </w:tcPr>
          <w:p w14:paraId="387046AC" w14:textId="77777777" w:rsidR="00B61EFC" w:rsidRPr="000564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Virtual Commissioning</w:t>
            </w:r>
          </w:p>
        </w:tc>
        <w:tc>
          <w:tcPr>
            <w:tcW w:w="1260" w:type="dxa"/>
            <w:shd w:val="clear" w:color="auto" w:fill="B3D3FB" w:themeFill="text2" w:themeFillTint="33"/>
          </w:tcPr>
          <w:p w14:paraId="46540F5F" w14:textId="07B59621"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21DE9604" w14:textId="468216E8"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32DDD82" w14:textId="779C695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4197BE0F" w14:textId="1F400F6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75632CC6" w14:textId="431F34F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78B99446" w14:textId="5970454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027A3473" w14:textId="2EE6705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253ACC5D" w14:textId="51A4809A"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5BBEC22F" w14:textId="18E9851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402C70F9" w14:textId="125D1B3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3F6C984" w14:textId="68D6C55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2D9D8440" w14:textId="1EC78F7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0EE7670A" w14:textId="6F25F8D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5E68B1AA" w14:textId="27D69BD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174A816" w14:textId="5182F3FA"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23615253" w14:textId="6C38939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44C2E95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7EDBFA9A" w14:textId="77777777" w:rsidR="00B61EFC" w:rsidRPr="000564FC" w:rsidRDefault="00B61EFC" w:rsidP="00B61EFC">
            <w:pPr>
              <w:pStyle w:val="TableLeftText"/>
              <w:rPr>
                <w:sz w:val="18"/>
                <w:szCs w:val="18"/>
              </w:rPr>
            </w:pPr>
            <w:r>
              <w:rPr>
                <w:rFonts w:cs="Calibri"/>
                <w:color w:val="4A4D56"/>
                <w:sz w:val="18"/>
                <w:szCs w:val="18"/>
              </w:rPr>
              <w:t>Retro-Commissioning</w:t>
            </w:r>
          </w:p>
        </w:tc>
        <w:tc>
          <w:tcPr>
            <w:tcW w:w="2430" w:type="dxa"/>
            <w:shd w:val="clear" w:color="auto" w:fill="BFCEED" w:themeFill="accent1" w:themeFillTint="33"/>
          </w:tcPr>
          <w:p w14:paraId="5829EF4A"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Virtual SEM</w:t>
            </w:r>
          </w:p>
        </w:tc>
        <w:tc>
          <w:tcPr>
            <w:tcW w:w="1260" w:type="dxa"/>
            <w:shd w:val="clear" w:color="auto" w:fill="B3D3FB" w:themeFill="text2" w:themeFillTint="33"/>
          </w:tcPr>
          <w:p w14:paraId="5BCDC1C6" w14:textId="3EA2DD4D"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7F8FA53D" w14:textId="0EB486C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44C30CF8" w14:textId="609D543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9D57105" w14:textId="5B1C1D4F"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5C5D8802" w14:textId="0F80CBE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0B37A19A" w14:textId="1AF6F77A"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703F417F" w14:textId="4D14330A"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5C099F3" w14:textId="4C03E92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08DEE003" w14:textId="71079C4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694499AC" w14:textId="06E3ECFF"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7C83960" w14:textId="550A4AC9"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274DBBD8" w14:textId="3B415944"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6C2C0823" w14:textId="6685EF7C"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7041092B" w14:textId="78656FF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0A09AA8A" w14:textId="17CEECF7"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2FE0239C" w14:textId="5C4D2D4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3EBF02EB"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047EAE5D" w14:textId="77777777" w:rsidR="00B61EFC" w:rsidRPr="000564FC" w:rsidRDefault="00B61EFC" w:rsidP="00B61EFC">
            <w:pPr>
              <w:pStyle w:val="TableLeftText"/>
              <w:rPr>
                <w:sz w:val="18"/>
                <w:szCs w:val="18"/>
              </w:rPr>
            </w:pPr>
            <w:r>
              <w:rPr>
                <w:rFonts w:cs="Calibri"/>
                <w:color w:val="4A4D56"/>
                <w:sz w:val="18"/>
                <w:szCs w:val="18"/>
              </w:rPr>
              <w:t>Streetlighting</w:t>
            </w:r>
          </w:p>
        </w:tc>
        <w:tc>
          <w:tcPr>
            <w:tcW w:w="2430" w:type="dxa"/>
            <w:shd w:val="clear" w:color="auto" w:fill="BFCEED" w:themeFill="accent1" w:themeFillTint="33"/>
          </w:tcPr>
          <w:p w14:paraId="0AF3CDA7" w14:textId="77777777" w:rsidR="00B61EFC" w:rsidRPr="000564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MOSL</w:t>
            </w:r>
          </w:p>
        </w:tc>
        <w:tc>
          <w:tcPr>
            <w:tcW w:w="1260" w:type="dxa"/>
            <w:shd w:val="clear" w:color="auto" w:fill="B3D3FB" w:themeFill="text2" w:themeFillTint="33"/>
          </w:tcPr>
          <w:p w14:paraId="4625250F" w14:textId="18F7E1D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1A0B7C6E" w14:textId="5CF0B260"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45B1427B" w14:textId="079AE931"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C503D34" w14:textId="30DF7511"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6D48C988" w14:textId="6325815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1C6857DA" w14:textId="49BC982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69FEF9F8" w14:textId="2EC8003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5C88CA3" w14:textId="6FF8970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29C8387C" w14:textId="0E15A8C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012BBCDA" w14:textId="6D23B64D"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5F89578" w14:textId="71A1F43D"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2C8ADEC2" w14:textId="0C63F45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6690865C" w14:textId="5F7AFDB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517F55B8" w14:textId="192C9C7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1D08515B" w14:textId="60C24DB9"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6325DDE8" w14:textId="0910B37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6C2284E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40DFD1F4" w14:textId="77777777" w:rsidR="00B61EFC" w:rsidRPr="000564FC" w:rsidRDefault="00B61EFC" w:rsidP="00B61EFC">
            <w:pPr>
              <w:pStyle w:val="TableLeftText"/>
              <w:rPr>
                <w:sz w:val="18"/>
                <w:szCs w:val="18"/>
              </w:rPr>
            </w:pPr>
            <w:r>
              <w:rPr>
                <w:rFonts w:cs="Calibri"/>
                <w:color w:val="4A4D56"/>
                <w:sz w:val="18"/>
                <w:szCs w:val="18"/>
              </w:rPr>
              <w:t>Streetlighting</w:t>
            </w:r>
          </w:p>
        </w:tc>
        <w:tc>
          <w:tcPr>
            <w:tcW w:w="2430" w:type="dxa"/>
            <w:shd w:val="clear" w:color="auto" w:fill="BFCEED" w:themeFill="accent1" w:themeFillTint="33"/>
          </w:tcPr>
          <w:p w14:paraId="65865CA6"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UOSL</w:t>
            </w:r>
          </w:p>
        </w:tc>
        <w:tc>
          <w:tcPr>
            <w:tcW w:w="1260" w:type="dxa"/>
            <w:shd w:val="clear" w:color="auto" w:fill="B3D3FB" w:themeFill="text2" w:themeFillTint="33"/>
          </w:tcPr>
          <w:p w14:paraId="6E9D326E" w14:textId="247FA56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1FA495E8" w14:textId="2FCB476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817A726" w14:textId="4397C0C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0E740352" w14:textId="29D0A00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13B02234" w14:textId="414C5E7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671CEE51" w14:textId="19C54DF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5BEF99ED" w14:textId="3C22AFF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11F106A5" w14:textId="190A5319"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6698B0D8" w14:textId="69EF367D"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AC5448F" w14:textId="02008B5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CE3DF9D" w14:textId="784B7626"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D0676AE" w14:textId="6DB5F380"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5C03D996" w14:textId="6C149C1D"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1ABF2A4F" w14:textId="65B857F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32C6D1DF" w14:textId="2B75EAAA"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106E2232" w14:textId="789FF48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2AE8505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03512FE5" w14:textId="77777777" w:rsidR="00B61EFC" w:rsidRDefault="00B61EFC" w:rsidP="00B61EFC">
            <w:pPr>
              <w:pStyle w:val="TableLeftText"/>
              <w:rPr>
                <w:sz w:val="18"/>
                <w:szCs w:val="18"/>
              </w:rPr>
            </w:pPr>
            <w:r>
              <w:rPr>
                <w:rFonts w:cs="Calibri"/>
                <w:color w:val="4A4D56"/>
                <w:sz w:val="18"/>
                <w:szCs w:val="18"/>
              </w:rPr>
              <w:t>Small Business</w:t>
            </w:r>
          </w:p>
        </w:tc>
        <w:tc>
          <w:tcPr>
            <w:tcW w:w="2430" w:type="dxa"/>
            <w:shd w:val="clear" w:color="auto" w:fill="BFCEED" w:themeFill="accent1" w:themeFillTint="33"/>
          </w:tcPr>
          <w:p w14:paraId="5CA70A7A" w14:textId="77777777" w:rsidR="00B61EFC" w:rsidRPr="000564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SBDI</w:t>
            </w:r>
          </w:p>
        </w:tc>
        <w:tc>
          <w:tcPr>
            <w:tcW w:w="1260" w:type="dxa"/>
            <w:shd w:val="clear" w:color="auto" w:fill="B3D3FB" w:themeFill="text2" w:themeFillTint="33"/>
          </w:tcPr>
          <w:p w14:paraId="0F49E38F" w14:textId="06D4A51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20ABAB62" w14:textId="452DBDB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4DA9E8C" w14:textId="526343D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020159CC" w14:textId="54B582A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08DEA12F" w14:textId="19E72CF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5FDA32C9" w14:textId="4D74EE4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50DB2805" w14:textId="45B1B4E1"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29B1EAA" w14:textId="089E8DC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13F400E1" w14:textId="7AE6F053"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12D27629" w14:textId="34389CD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2F0BB2C6" w14:textId="62FD8DD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6ED63263" w14:textId="4E7E6BE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A5805B7" w14:textId="0D77F85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0DDFF9CD" w14:textId="134D09A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647EE96A" w14:textId="199564E9"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73CD6D55" w14:textId="4FF8DF2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0719B32B"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D5DDF69" w14:textId="77777777" w:rsidR="00B61EFC" w:rsidRDefault="00B61EFC" w:rsidP="00B61EFC">
            <w:pPr>
              <w:pStyle w:val="TableLeftText"/>
              <w:rPr>
                <w:sz w:val="18"/>
                <w:szCs w:val="18"/>
              </w:rPr>
            </w:pPr>
            <w:r>
              <w:rPr>
                <w:rFonts w:cs="Calibri"/>
                <w:color w:val="4A4D56"/>
                <w:sz w:val="18"/>
                <w:szCs w:val="18"/>
              </w:rPr>
              <w:t>Small Business</w:t>
            </w:r>
          </w:p>
        </w:tc>
        <w:tc>
          <w:tcPr>
            <w:tcW w:w="2430" w:type="dxa"/>
            <w:shd w:val="clear" w:color="auto" w:fill="BFCEED" w:themeFill="accent1" w:themeFillTint="33"/>
          </w:tcPr>
          <w:p w14:paraId="05508A87"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SBEP</w:t>
            </w:r>
          </w:p>
        </w:tc>
        <w:tc>
          <w:tcPr>
            <w:tcW w:w="1260" w:type="dxa"/>
            <w:shd w:val="clear" w:color="auto" w:fill="B3D3FB" w:themeFill="text2" w:themeFillTint="33"/>
          </w:tcPr>
          <w:p w14:paraId="7DDF062D" w14:textId="041F03D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6FFCE1D5" w14:textId="2D1E729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5370A163" w14:textId="764E18E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2EC3A4B" w14:textId="44F140C2"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5B85153A" w14:textId="4F6731E0"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1B8C44F0" w14:textId="04E7E5CA"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6F3D701E" w14:textId="0907A23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2303334C" w14:textId="32A89923"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4CD3C2F3" w14:textId="0D1D288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72EAC408" w14:textId="6DB9D494"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336F6C5B" w14:textId="1936FDF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49CA5DD" w14:textId="6822C6F1"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18940214" w14:textId="0C1DA3D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0120773C" w14:textId="650F041C"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58AF497" w14:textId="59607901"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4ED61CBF" w14:textId="26CE74B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50CF499D"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7FFB1BAF" w14:textId="77777777" w:rsidR="00B61EFC" w:rsidRDefault="00B61EFC" w:rsidP="00B61EFC">
            <w:pPr>
              <w:pStyle w:val="TableLeftText"/>
              <w:rPr>
                <w:sz w:val="18"/>
                <w:szCs w:val="18"/>
              </w:rPr>
            </w:pPr>
            <w:r>
              <w:rPr>
                <w:rFonts w:cs="Calibri"/>
                <w:color w:val="4A4D56"/>
                <w:sz w:val="18"/>
                <w:szCs w:val="18"/>
              </w:rPr>
              <w:t>Midstream</w:t>
            </w:r>
          </w:p>
        </w:tc>
        <w:tc>
          <w:tcPr>
            <w:tcW w:w="2430" w:type="dxa"/>
            <w:shd w:val="clear" w:color="auto" w:fill="BFCEED" w:themeFill="accent1" w:themeFillTint="33"/>
          </w:tcPr>
          <w:p w14:paraId="5F620913" w14:textId="77777777" w:rsidR="00B61EFC" w:rsidRPr="000564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Lighting</w:t>
            </w:r>
          </w:p>
        </w:tc>
        <w:tc>
          <w:tcPr>
            <w:tcW w:w="1260" w:type="dxa"/>
            <w:shd w:val="clear" w:color="auto" w:fill="B3D3FB" w:themeFill="text2" w:themeFillTint="33"/>
          </w:tcPr>
          <w:p w14:paraId="4F030B86" w14:textId="3F2E1BD0"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42DDE38E" w14:textId="390991E0"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556F8A30" w14:textId="195DA82D"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31537D8" w14:textId="1D9C89C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500C1C3B" w14:textId="03CAFEC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7BA3D733" w14:textId="4C701B0F"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5783C293" w14:textId="1B84B06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4CC75C3" w14:textId="494FF55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62CEBD6A" w14:textId="3D46344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304563D9" w14:textId="0D84DE06"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1145B96" w14:textId="56DA3DE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50A8EF1" w14:textId="27111EE0"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711A7A5B" w14:textId="502E9B8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1FD4E7DA" w14:textId="402B176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5CF5429" w14:textId="2E279926"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3DDC8B0D" w14:textId="34E41C8A"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63FA0CD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3B47E859" w14:textId="77777777" w:rsidR="00B61EFC" w:rsidRDefault="00B61EFC" w:rsidP="00B61EFC">
            <w:pPr>
              <w:pStyle w:val="TableLeftText"/>
              <w:rPr>
                <w:sz w:val="18"/>
                <w:szCs w:val="18"/>
              </w:rPr>
            </w:pPr>
            <w:r>
              <w:rPr>
                <w:rFonts w:cs="Calibri"/>
                <w:color w:val="4A4D56"/>
                <w:sz w:val="18"/>
                <w:szCs w:val="18"/>
              </w:rPr>
              <w:t>Midstream</w:t>
            </w:r>
          </w:p>
        </w:tc>
        <w:tc>
          <w:tcPr>
            <w:tcW w:w="2430" w:type="dxa"/>
            <w:shd w:val="clear" w:color="auto" w:fill="BFCEED" w:themeFill="accent1" w:themeFillTint="33"/>
          </w:tcPr>
          <w:p w14:paraId="50A96FC7"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HVAC</w:t>
            </w:r>
          </w:p>
        </w:tc>
        <w:tc>
          <w:tcPr>
            <w:tcW w:w="1260" w:type="dxa"/>
            <w:shd w:val="clear" w:color="auto" w:fill="B3D3FB" w:themeFill="text2" w:themeFillTint="33"/>
          </w:tcPr>
          <w:p w14:paraId="0F321025" w14:textId="46B05D94"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0EA20FAB" w14:textId="31D80123"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7A3FDDBF" w14:textId="6393A2C3"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7F2AE54A" w14:textId="58738A7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2BAB404B" w14:textId="1BFD1DF9"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63CE5330" w14:textId="5536378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7D5A3F63" w14:textId="12D01EB1"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0A3EA8D6" w14:textId="11D4265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20DFD490" w14:textId="34007D50"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45EA6257" w14:textId="3FA18F3A"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4BCB8F21" w14:textId="47771D0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5B3EB190" w14:textId="345F4F6F"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0F2ED395" w14:textId="493C9650"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1277AEAF" w14:textId="3CA2B66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147521DB" w14:textId="4A2305CF"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6CA07D76" w14:textId="66EDC171"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666E16D8"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0ACB0FB0" w14:textId="77777777" w:rsidR="00B61EFC" w:rsidRDefault="00B61EFC" w:rsidP="00B61EFC">
            <w:pPr>
              <w:pStyle w:val="TableLeftText"/>
              <w:rPr>
                <w:sz w:val="18"/>
                <w:szCs w:val="18"/>
              </w:rPr>
            </w:pPr>
            <w:r>
              <w:rPr>
                <w:rFonts w:cs="Calibri"/>
                <w:color w:val="4A4D56"/>
                <w:sz w:val="18"/>
                <w:szCs w:val="18"/>
              </w:rPr>
              <w:t>Midstream</w:t>
            </w:r>
          </w:p>
        </w:tc>
        <w:tc>
          <w:tcPr>
            <w:tcW w:w="2430" w:type="dxa"/>
            <w:shd w:val="clear" w:color="auto" w:fill="BFCEED" w:themeFill="accent1" w:themeFillTint="33"/>
          </w:tcPr>
          <w:p w14:paraId="2B259148" w14:textId="77777777" w:rsidR="00B61EFC" w:rsidRPr="000564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Food Service</w:t>
            </w:r>
          </w:p>
        </w:tc>
        <w:tc>
          <w:tcPr>
            <w:tcW w:w="1260" w:type="dxa"/>
            <w:shd w:val="clear" w:color="auto" w:fill="B3D3FB" w:themeFill="text2" w:themeFillTint="33"/>
          </w:tcPr>
          <w:p w14:paraId="5B432F6D" w14:textId="29E64D03"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3B7F523F" w14:textId="2BD873F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1E831913" w14:textId="6E2F68E8"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665ADBE" w14:textId="08B04ABA"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5C72293" w14:textId="3AD140D0"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63861EFE" w14:textId="6931E95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2B5FDBF4" w14:textId="6C6B3DE2"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1785E5C7" w14:textId="6F3F59F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06CCB75F" w14:textId="5FA8F156"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76A37433" w14:textId="54E13B33"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77ADCDAC" w14:textId="56B41046"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61B83725" w14:textId="4803D94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7328636D" w14:textId="5566136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6F7B3665" w14:textId="001C3691"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64E2ACD0" w14:textId="4018525B"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670C8598" w14:textId="7702C3A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6629DB" w14:paraId="6B430DE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286F5BA0" w14:textId="77777777" w:rsidR="00B61EFC" w:rsidRDefault="00B61EFC" w:rsidP="00B61EFC">
            <w:pPr>
              <w:pStyle w:val="TableLeftText"/>
              <w:rPr>
                <w:sz w:val="18"/>
                <w:szCs w:val="18"/>
              </w:rPr>
            </w:pPr>
            <w:r>
              <w:rPr>
                <w:rFonts w:cs="Calibri"/>
                <w:color w:val="4A4D56"/>
                <w:sz w:val="18"/>
                <w:szCs w:val="18"/>
              </w:rPr>
              <w:t>Midstream</w:t>
            </w:r>
          </w:p>
        </w:tc>
        <w:tc>
          <w:tcPr>
            <w:tcW w:w="2430" w:type="dxa"/>
            <w:shd w:val="clear" w:color="auto" w:fill="BFCEED" w:themeFill="accent1" w:themeFillTint="33"/>
          </w:tcPr>
          <w:p w14:paraId="531AC5F7"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Carryover</w:t>
            </w:r>
          </w:p>
        </w:tc>
        <w:tc>
          <w:tcPr>
            <w:tcW w:w="1260" w:type="dxa"/>
            <w:shd w:val="clear" w:color="auto" w:fill="B3D3FB" w:themeFill="text2" w:themeFillTint="33"/>
          </w:tcPr>
          <w:p w14:paraId="45298174" w14:textId="5BE6377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CDDDF4" w:themeFill="accent2" w:themeFillTint="33"/>
          </w:tcPr>
          <w:p w14:paraId="6458081E" w14:textId="5D031FC2"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203C63F5" w14:textId="514EF468"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CDDDF4" w:themeFill="accent2" w:themeFillTint="33"/>
          </w:tcPr>
          <w:p w14:paraId="47D3678C" w14:textId="1409A6C1"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CDDDF4" w:themeFill="accent2" w:themeFillTint="33"/>
          </w:tcPr>
          <w:p w14:paraId="143852E2" w14:textId="23627AB1"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2EDF9" w:themeFill="accent3" w:themeFillTint="33"/>
          </w:tcPr>
          <w:p w14:paraId="4FD06697" w14:textId="0B5DAA7F"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D2EDF9" w:themeFill="accent3" w:themeFillTint="33"/>
          </w:tcPr>
          <w:p w14:paraId="08FC9B6E" w14:textId="66B6BC2B"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5DE38601" w14:textId="1644C142"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D2EDF9" w:themeFill="accent3" w:themeFillTint="33"/>
          </w:tcPr>
          <w:p w14:paraId="7C98B34B" w14:textId="102C805A"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D2EDF9" w:themeFill="accent3" w:themeFillTint="33"/>
          </w:tcPr>
          <w:p w14:paraId="092349C6" w14:textId="6C2CDD23"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D2EDF9" w:themeFill="accent3" w:themeFillTint="33"/>
          </w:tcPr>
          <w:p w14:paraId="29D1D86B" w14:textId="3D792929"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72685024" w14:textId="7E7A862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E5E5F2" w:themeFill="accent4" w:themeFillTint="33"/>
          </w:tcPr>
          <w:p w14:paraId="26D77C07" w14:textId="79A9B465"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E5E5F2" w:themeFill="accent4" w:themeFillTint="33"/>
          </w:tcPr>
          <w:p w14:paraId="33BDD144" w14:textId="02B1CA47"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E5E5F2" w:themeFill="accent4" w:themeFillTint="33"/>
          </w:tcPr>
          <w:p w14:paraId="1411E470" w14:textId="42E267B8" w:rsidR="00B61EFC" w:rsidRPr="000564FC" w:rsidRDefault="00B61EFC" w:rsidP="00B61EFC">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DDDFEE" w:themeFill="accent5" w:themeFillTint="33"/>
          </w:tcPr>
          <w:p w14:paraId="0D756226" w14:textId="032523FE" w:rsidR="00B61EFC" w:rsidRPr="000564FC" w:rsidRDefault="00B61EFC" w:rsidP="00B61EFC">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26DF7C6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BFCEED" w:themeFill="accent1" w:themeFillTint="33"/>
          </w:tcPr>
          <w:p w14:paraId="3A6FE094" w14:textId="6224CABE" w:rsidR="00B61EFC" w:rsidRDefault="00B61EFC" w:rsidP="00B61EFC">
            <w:pPr>
              <w:pStyle w:val="TableLeftText"/>
              <w:rPr>
                <w:rFonts w:cs="Calibri"/>
                <w:color w:val="4A4D56"/>
                <w:sz w:val="18"/>
                <w:szCs w:val="18"/>
              </w:rPr>
            </w:pPr>
            <w:r>
              <w:rPr>
                <w:rFonts w:cs="Calibri"/>
                <w:color w:val="4A4D56"/>
                <w:sz w:val="18"/>
                <w:szCs w:val="18"/>
              </w:rPr>
              <w:t>Market Transformation</w:t>
            </w:r>
          </w:p>
        </w:tc>
        <w:tc>
          <w:tcPr>
            <w:tcW w:w="2430" w:type="dxa"/>
            <w:shd w:val="clear" w:color="auto" w:fill="BFCEED" w:themeFill="accent1" w:themeFillTint="33"/>
          </w:tcPr>
          <w:p w14:paraId="710751B9" w14:textId="78FCF2E5" w:rsidR="00B61EFC" w:rsidRDefault="00B61EFC" w:rsidP="00B61EFC">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LLLC Pilot</w:t>
            </w:r>
          </w:p>
        </w:tc>
        <w:tc>
          <w:tcPr>
            <w:tcW w:w="1260" w:type="dxa"/>
            <w:shd w:val="clear" w:color="auto" w:fill="B3D3FB" w:themeFill="text2" w:themeFillTint="33"/>
          </w:tcPr>
          <w:p w14:paraId="40D71CBE"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17768CA7"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39FE9E29"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78066D46"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99B033A"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3AD79805"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7BEFCA62"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39341840"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1E931277"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0B381016"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0CDDFF5"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751563D0"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50A30A0A"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19C5012B"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35CA98CD" w14:textId="77777777"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3854C392"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B61EFC" w:rsidRPr="007A679D" w14:paraId="0325F33A"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585" w:type="dxa"/>
            <w:gridSpan w:val="2"/>
            <w:tcBorders>
              <w:right w:val="nil"/>
            </w:tcBorders>
            <w:shd w:val="clear" w:color="auto" w:fill="4A4D56" w:themeFill="text1"/>
          </w:tcPr>
          <w:p w14:paraId="0678C59D" w14:textId="77777777" w:rsidR="00B61EFC" w:rsidRPr="000564FC" w:rsidRDefault="00B61EFC" w:rsidP="00B61EFC">
            <w:pPr>
              <w:pStyle w:val="TableLeftText"/>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Voltage Optimization Program</w:t>
            </w:r>
          </w:p>
        </w:tc>
        <w:tc>
          <w:tcPr>
            <w:tcW w:w="1260" w:type="dxa"/>
            <w:tcBorders>
              <w:left w:val="nil"/>
              <w:right w:val="nil"/>
            </w:tcBorders>
            <w:shd w:val="clear" w:color="auto" w:fill="4A4D56" w:themeFill="text1"/>
          </w:tcPr>
          <w:p w14:paraId="6241CD28"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71,264</w:t>
            </w:r>
          </w:p>
        </w:tc>
        <w:tc>
          <w:tcPr>
            <w:tcW w:w="1440" w:type="dxa"/>
            <w:tcBorders>
              <w:left w:val="nil"/>
              <w:right w:val="nil"/>
            </w:tcBorders>
            <w:shd w:val="clear" w:color="auto" w:fill="4A4D56" w:themeFill="text1"/>
          </w:tcPr>
          <w:p w14:paraId="11686F6B"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117%</w:t>
            </w:r>
          </w:p>
        </w:tc>
        <w:tc>
          <w:tcPr>
            <w:tcW w:w="1260" w:type="dxa"/>
            <w:tcBorders>
              <w:left w:val="nil"/>
              <w:right w:val="nil"/>
            </w:tcBorders>
            <w:shd w:val="clear" w:color="auto" w:fill="4A4D56" w:themeFill="text1"/>
          </w:tcPr>
          <w:p w14:paraId="6E872752"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83,416</w:t>
            </w:r>
          </w:p>
        </w:tc>
        <w:tc>
          <w:tcPr>
            <w:tcW w:w="1260" w:type="dxa"/>
            <w:tcBorders>
              <w:left w:val="nil"/>
              <w:right w:val="nil"/>
            </w:tcBorders>
            <w:shd w:val="clear" w:color="auto" w:fill="4A4D56" w:themeFill="text1"/>
          </w:tcPr>
          <w:p w14:paraId="51FC719E"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13.10</w:t>
            </w:r>
          </w:p>
        </w:tc>
        <w:tc>
          <w:tcPr>
            <w:tcW w:w="990" w:type="dxa"/>
            <w:tcBorders>
              <w:left w:val="nil"/>
              <w:right w:val="nil"/>
            </w:tcBorders>
            <w:shd w:val="clear" w:color="auto" w:fill="4A4D56" w:themeFill="text1"/>
          </w:tcPr>
          <w:p w14:paraId="5C9FABEA"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1,251,236</w:t>
            </w:r>
          </w:p>
        </w:tc>
        <w:tc>
          <w:tcPr>
            <w:tcW w:w="810" w:type="dxa"/>
            <w:tcBorders>
              <w:left w:val="nil"/>
              <w:right w:val="nil"/>
            </w:tcBorders>
            <w:shd w:val="clear" w:color="auto" w:fill="4A4D56" w:themeFill="text1"/>
          </w:tcPr>
          <w:p w14:paraId="749310F6"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1.000</w:t>
            </w:r>
          </w:p>
        </w:tc>
        <w:tc>
          <w:tcPr>
            <w:tcW w:w="900" w:type="dxa"/>
            <w:tcBorders>
              <w:left w:val="nil"/>
              <w:right w:val="nil"/>
            </w:tcBorders>
            <w:shd w:val="clear" w:color="auto" w:fill="4A4D56" w:themeFill="text1"/>
          </w:tcPr>
          <w:p w14:paraId="48FEAF38"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83,416</w:t>
            </w:r>
          </w:p>
        </w:tc>
        <w:tc>
          <w:tcPr>
            <w:tcW w:w="1260" w:type="dxa"/>
            <w:tcBorders>
              <w:left w:val="nil"/>
              <w:right w:val="nil"/>
            </w:tcBorders>
            <w:shd w:val="clear" w:color="auto" w:fill="4A4D56" w:themeFill="text1"/>
          </w:tcPr>
          <w:p w14:paraId="6D94C8F0"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13.10</w:t>
            </w:r>
          </w:p>
        </w:tc>
        <w:tc>
          <w:tcPr>
            <w:tcW w:w="990" w:type="dxa"/>
            <w:tcBorders>
              <w:left w:val="nil"/>
              <w:right w:val="nil"/>
            </w:tcBorders>
            <w:shd w:val="clear" w:color="auto" w:fill="4A4D56" w:themeFill="text1"/>
          </w:tcPr>
          <w:p w14:paraId="7FED97F8"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1,251,236</w:t>
            </w:r>
          </w:p>
        </w:tc>
        <w:tc>
          <w:tcPr>
            <w:tcW w:w="1350" w:type="dxa"/>
            <w:tcBorders>
              <w:left w:val="nil"/>
              <w:right w:val="nil"/>
            </w:tcBorders>
            <w:shd w:val="clear" w:color="auto" w:fill="4A4D56" w:themeFill="text1"/>
          </w:tcPr>
          <w:p w14:paraId="58EBFDCD"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 </w:t>
            </w:r>
          </w:p>
        </w:tc>
        <w:tc>
          <w:tcPr>
            <w:tcW w:w="1260" w:type="dxa"/>
            <w:tcBorders>
              <w:left w:val="nil"/>
              <w:right w:val="nil"/>
            </w:tcBorders>
            <w:shd w:val="clear" w:color="auto" w:fill="4A4D56" w:themeFill="text1"/>
          </w:tcPr>
          <w:p w14:paraId="70749349"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 </w:t>
            </w:r>
          </w:p>
        </w:tc>
        <w:tc>
          <w:tcPr>
            <w:tcW w:w="1620" w:type="dxa"/>
            <w:tcBorders>
              <w:left w:val="nil"/>
              <w:right w:val="nil"/>
            </w:tcBorders>
            <w:shd w:val="clear" w:color="auto" w:fill="4A4D56" w:themeFill="text1"/>
          </w:tcPr>
          <w:p w14:paraId="4343545A"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 </w:t>
            </w:r>
          </w:p>
        </w:tc>
        <w:tc>
          <w:tcPr>
            <w:tcW w:w="1080" w:type="dxa"/>
            <w:tcBorders>
              <w:left w:val="nil"/>
              <w:right w:val="nil"/>
            </w:tcBorders>
            <w:shd w:val="clear" w:color="auto" w:fill="4A4D56" w:themeFill="text1"/>
          </w:tcPr>
          <w:p w14:paraId="0907CBDA"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N/A</w:t>
            </w:r>
          </w:p>
        </w:tc>
        <w:tc>
          <w:tcPr>
            <w:tcW w:w="990" w:type="dxa"/>
            <w:tcBorders>
              <w:left w:val="nil"/>
              <w:right w:val="nil"/>
            </w:tcBorders>
            <w:shd w:val="clear" w:color="auto" w:fill="4A4D56" w:themeFill="text1"/>
          </w:tcPr>
          <w:p w14:paraId="0B2424CB"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191</w:t>
            </w:r>
          </w:p>
        </w:tc>
        <w:tc>
          <w:tcPr>
            <w:tcW w:w="1620" w:type="dxa"/>
            <w:tcBorders>
              <w:left w:val="nil"/>
              <w:right w:val="nil"/>
            </w:tcBorders>
            <w:shd w:val="clear" w:color="auto" w:fill="4A4D56" w:themeFill="text1"/>
          </w:tcPr>
          <w:p w14:paraId="04A434E0"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Circuits</w:t>
            </w:r>
          </w:p>
        </w:tc>
        <w:tc>
          <w:tcPr>
            <w:tcW w:w="661" w:type="dxa"/>
            <w:tcBorders>
              <w:left w:val="nil"/>
            </w:tcBorders>
            <w:shd w:val="clear" w:color="auto" w:fill="4A4D56" w:themeFill="text1"/>
          </w:tcPr>
          <w:p w14:paraId="2A8D2089"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r>
              <w:rPr>
                <w:rFonts w:cs="Calibri"/>
                <w:color w:val="4A4D56"/>
                <w:sz w:val="18"/>
                <w:szCs w:val="18"/>
              </w:rPr>
              <w:t>15.0</w:t>
            </w:r>
          </w:p>
        </w:tc>
      </w:tr>
      <w:tr w:rsidR="00B61EFC" w:rsidRPr="006629DB" w14:paraId="2D4E938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585" w:type="dxa"/>
            <w:gridSpan w:val="2"/>
            <w:shd w:val="clear" w:color="auto" w:fill="BFCEED" w:themeFill="accent1" w:themeFillTint="33"/>
          </w:tcPr>
          <w:p w14:paraId="61F0A82C" w14:textId="77777777" w:rsidR="00B61EFC" w:rsidRPr="000564FC" w:rsidRDefault="00B61EFC" w:rsidP="00B61EFC">
            <w:pPr>
              <w:pStyle w:val="TableLeftText"/>
              <w:rPr>
                <w:sz w:val="18"/>
                <w:szCs w:val="18"/>
              </w:rPr>
            </w:pPr>
            <w:r w:rsidRPr="000564FC">
              <w:rPr>
                <w:sz w:val="18"/>
                <w:szCs w:val="18"/>
              </w:rPr>
              <w:t>Voltage Optimization</w:t>
            </w:r>
          </w:p>
        </w:tc>
        <w:tc>
          <w:tcPr>
            <w:tcW w:w="1260" w:type="dxa"/>
            <w:shd w:val="clear" w:color="auto" w:fill="B3D3FB" w:themeFill="text2" w:themeFillTint="33"/>
          </w:tcPr>
          <w:p w14:paraId="6870915A" w14:textId="54C7D0F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shd w:val="clear" w:color="auto" w:fill="CDDDF4" w:themeFill="accent2" w:themeFillTint="33"/>
          </w:tcPr>
          <w:p w14:paraId="418513B8" w14:textId="4196E47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29525482" w14:textId="73FCBAC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CDDDF4" w:themeFill="accent2" w:themeFillTint="33"/>
          </w:tcPr>
          <w:p w14:paraId="5680D0D3" w14:textId="7B1872E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CDDDF4" w:themeFill="accent2" w:themeFillTint="33"/>
          </w:tcPr>
          <w:p w14:paraId="26D80113" w14:textId="30F67CA4"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2EDF9" w:themeFill="accent3" w:themeFillTint="33"/>
          </w:tcPr>
          <w:p w14:paraId="47AE0840" w14:textId="3CEB7BBB"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shd w:val="clear" w:color="auto" w:fill="D2EDF9" w:themeFill="accent3" w:themeFillTint="33"/>
          </w:tcPr>
          <w:p w14:paraId="7A7F4AA0" w14:textId="0C6C970D"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005ED1FE" w14:textId="1371B65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D2EDF9" w:themeFill="accent3" w:themeFillTint="33"/>
          </w:tcPr>
          <w:p w14:paraId="50AAA61C" w14:textId="0398AEA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350" w:type="dxa"/>
            <w:shd w:val="clear" w:color="auto" w:fill="D2EDF9" w:themeFill="accent3" w:themeFillTint="33"/>
          </w:tcPr>
          <w:p w14:paraId="3DB359CA" w14:textId="34AA47F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shd w:val="clear" w:color="auto" w:fill="D2EDF9" w:themeFill="accent3" w:themeFillTint="33"/>
          </w:tcPr>
          <w:p w14:paraId="2488658A" w14:textId="09CDBBC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1FAC19BB" w14:textId="41663A0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080" w:type="dxa"/>
            <w:shd w:val="clear" w:color="auto" w:fill="E5E5F2" w:themeFill="accent4" w:themeFillTint="33"/>
          </w:tcPr>
          <w:p w14:paraId="2863D00F" w14:textId="29E4964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90" w:type="dxa"/>
            <w:shd w:val="clear" w:color="auto" w:fill="E5E5F2" w:themeFill="accent4" w:themeFillTint="33"/>
          </w:tcPr>
          <w:p w14:paraId="1831A0F9" w14:textId="44E8968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20" w:type="dxa"/>
            <w:shd w:val="clear" w:color="auto" w:fill="E5E5F2" w:themeFill="accent4" w:themeFillTint="33"/>
          </w:tcPr>
          <w:p w14:paraId="42F93BE9" w14:textId="29EB5A01" w:rsidR="00B61EFC" w:rsidRPr="000564FC" w:rsidRDefault="00B61EFC" w:rsidP="00B61EFC">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shd w:val="clear" w:color="auto" w:fill="DDDFEE" w:themeFill="accent5" w:themeFillTint="33"/>
          </w:tcPr>
          <w:p w14:paraId="6E7C301C"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15.0</w:t>
            </w:r>
          </w:p>
        </w:tc>
      </w:tr>
      <w:tr w:rsidR="00B61EFC" w:rsidRPr="006629DB" w14:paraId="604AEA9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shd w:val="clear" w:color="auto" w:fill="4A4D56" w:themeFill="text1"/>
          </w:tcPr>
          <w:p w14:paraId="3A7EE83B" w14:textId="77777777" w:rsidR="00B61EFC" w:rsidRPr="000564FC" w:rsidRDefault="00B61EFC" w:rsidP="00B61EFC">
            <w:pPr>
              <w:pStyle w:val="TableLeftText"/>
              <w:rPr>
                <w:sz w:val="18"/>
                <w:szCs w:val="18"/>
              </w:rPr>
            </w:pPr>
          </w:p>
        </w:tc>
        <w:tc>
          <w:tcPr>
            <w:tcW w:w="2430" w:type="dxa"/>
            <w:shd w:val="clear" w:color="auto" w:fill="4A4D56" w:themeFill="text1"/>
          </w:tcPr>
          <w:p w14:paraId="319FE3C5" w14:textId="77777777" w:rsidR="00B61EFC" w:rsidRPr="000564FC" w:rsidRDefault="00B61EFC" w:rsidP="00B61EFC">
            <w:pPr>
              <w:pStyle w:val="TableLeft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4A4D56" w:themeFill="text1"/>
          </w:tcPr>
          <w:p w14:paraId="5DF1C937"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440" w:type="dxa"/>
            <w:shd w:val="clear" w:color="auto" w:fill="4A4D56" w:themeFill="text1"/>
          </w:tcPr>
          <w:p w14:paraId="1FC13C37"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4A4D56" w:themeFill="text1"/>
          </w:tcPr>
          <w:p w14:paraId="532FDFC6"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4A4D56" w:themeFill="text1"/>
          </w:tcPr>
          <w:p w14:paraId="6EA887F1"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4A4D56" w:themeFill="text1"/>
          </w:tcPr>
          <w:p w14:paraId="527420A9"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4A4D56" w:themeFill="text1"/>
          </w:tcPr>
          <w:p w14:paraId="4C15D3D4"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00" w:type="dxa"/>
            <w:shd w:val="clear" w:color="auto" w:fill="4A4D56" w:themeFill="text1"/>
          </w:tcPr>
          <w:p w14:paraId="7C6C3D16"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4A4D56" w:themeFill="text1"/>
          </w:tcPr>
          <w:p w14:paraId="5F70635C"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4A4D56" w:themeFill="text1"/>
          </w:tcPr>
          <w:p w14:paraId="75A0AFB0"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4A4D56" w:themeFill="text1"/>
          </w:tcPr>
          <w:p w14:paraId="3080E907"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shd w:val="clear" w:color="auto" w:fill="4A4D56" w:themeFill="text1"/>
          </w:tcPr>
          <w:p w14:paraId="5C786F35"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4A4D56" w:themeFill="text1"/>
          </w:tcPr>
          <w:p w14:paraId="134F30E7"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080" w:type="dxa"/>
            <w:shd w:val="clear" w:color="auto" w:fill="4A4D56" w:themeFill="text1"/>
          </w:tcPr>
          <w:p w14:paraId="6013CFEE"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990" w:type="dxa"/>
            <w:shd w:val="clear" w:color="auto" w:fill="4A4D56" w:themeFill="text1"/>
          </w:tcPr>
          <w:p w14:paraId="731CB845"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620" w:type="dxa"/>
            <w:shd w:val="clear" w:color="auto" w:fill="4A4D56" w:themeFill="text1"/>
          </w:tcPr>
          <w:p w14:paraId="2FD634F7"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shd w:val="clear" w:color="auto" w:fill="4A4D56" w:themeFill="text1"/>
          </w:tcPr>
          <w:p w14:paraId="47BAB1FC" w14:textId="77777777" w:rsidR="00B61EFC" w:rsidRPr="000564FC" w:rsidRDefault="00B61EFC" w:rsidP="00B61EFC">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r>
      <w:tr w:rsidR="00B61EFC" w:rsidRPr="006629DB" w14:paraId="21751EE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585" w:type="dxa"/>
            <w:gridSpan w:val="2"/>
            <w:shd w:val="clear" w:color="auto" w:fill="BFCEED" w:themeFill="accent1" w:themeFillTint="33"/>
          </w:tcPr>
          <w:p w14:paraId="35174940" w14:textId="77777777" w:rsidR="00B61EFC" w:rsidRPr="000564FC" w:rsidRDefault="00B61EFC" w:rsidP="00B61EFC">
            <w:pPr>
              <w:pStyle w:val="TableLeftText"/>
              <w:rPr>
                <w:rFonts w:ascii="Franklin Gothic Medium" w:hAnsi="Franklin Gothic Medium"/>
                <w:sz w:val="18"/>
                <w:szCs w:val="18"/>
              </w:rPr>
            </w:pPr>
            <w:r w:rsidRPr="000564FC">
              <w:rPr>
                <w:rFonts w:ascii="Franklin Gothic Medium" w:hAnsi="Franklin Gothic Medium"/>
                <w:sz w:val="18"/>
                <w:szCs w:val="18"/>
              </w:rPr>
              <w:t>Portfolio Total</w:t>
            </w:r>
          </w:p>
        </w:tc>
        <w:tc>
          <w:tcPr>
            <w:tcW w:w="1260" w:type="dxa"/>
            <w:shd w:val="clear" w:color="auto" w:fill="B3D3FB" w:themeFill="text2" w:themeFillTint="33"/>
          </w:tcPr>
          <w:p w14:paraId="5961E946" w14:textId="2790C9E6"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440" w:type="dxa"/>
            <w:shd w:val="clear" w:color="auto" w:fill="CDDDF4" w:themeFill="accent2" w:themeFillTint="33"/>
          </w:tcPr>
          <w:p w14:paraId="1C3F1825" w14:textId="4EC2F07D"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260" w:type="dxa"/>
            <w:shd w:val="clear" w:color="auto" w:fill="CDDDF4" w:themeFill="accent2" w:themeFillTint="33"/>
          </w:tcPr>
          <w:p w14:paraId="3B8E04A1" w14:textId="3A6EFBE9"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260" w:type="dxa"/>
            <w:shd w:val="clear" w:color="auto" w:fill="CDDDF4" w:themeFill="accent2" w:themeFillTint="33"/>
          </w:tcPr>
          <w:p w14:paraId="52546F60" w14:textId="027415A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990" w:type="dxa"/>
            <w:shd w:val="clear" w:color="auto" w:fill="CDDDF4" w:themeFill="accent2" w:themeFillTint="33"/>
          </w:tcPr>
          <w:p w14:paraId="0C419C61" w14:textId="25FD535E"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810" w:type="dxa"/>
            <w:shd w:val="clear" w:color="auto" w:fill="D2EDF9" w:themeFill="accent3" w:themeFillTint="33"/>
          </w:tcPr>
          <w:p w14:paraId="4C18FB4C" w14:textId="259D7E2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900" w:type="dxa"/>
            <w:shd w:val="clear" w:color="auto" w:fill="D2EDF9" w:themeFill="accent3" w:themeFillTint="33"/>
          </w:tcPr>
          <w:p w14:paraId="756D6614" w14:textId="2254ADD5"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260" w:type="dxa"/>
            <w:shd w:val="clear" w:color="auto" w:fill="D2EDF9" w:themeFill="accent3" w:themeFillTint="33"/>
          </w:tcPr>
          <w:p w14:paraId="00F1F472" w14:textId="54BAEE4C"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990" w:type="dxa"/>
            <w:shd w:val="clear" w:color="auto" w:fill="D2EDF9" w:themeFill="accent3" w:themeFillTint="33"/>
          </w:tcPr>
          <w:p w14:paraId="5D3B7189" w14:textId="10A994B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350" w:type="dxa"/>
            <w:shd w:val="clear" w:color="auto" w:fill="D2EDF9" w:themeFill="accent3" w:themeFillTint="33"/>
          </w:tcPr>
          <w:p w14:paraId="4C7F707C"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260" w:type="dxa"/>
            <w:shd w:val="clear" w:color="auto" w:fill="D2EDF9" w:themeFill="accent3" w:themeFillTint="33"/>
          </w:tcPr>
          <w:p w14:paraId="500B1093"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620" w:type="dxa"/>
            <w:shd w:val="clear" w:color="auto" w:fill="E5E5F2" w:themeFill="accent4" w:themeFillTint="33"/>
          </w:tcPr>
          <w:p w14:paraId="5387B4D6"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080" w:type="dxa"/>
            <w:shd w:val="clear" w:color="auto" w:fill="4A4D56" w:themeFill="text1"/>
          </w:tcPr>
          <w:p w14:paraId="183162FE"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990" w:type="dxa"/>
            <w:shd w:val="clear" w:color="auto" w:fill="4A4D56" w:themeFill="text1"/>
          </w:tcPr>
          <w:p w14:paraId="39AF574E"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620" w:type="dxa"/>
            <w:shd w:val="clear" w:color="auto" w:fill="4A4D56" w:themeFill="text1"/>
          </w:tcPr>
          <w:p w14:paraId="16B52B8C"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661" w:type="dxa"/>
            <w:shd w:val="clear" w:color="auto" w:fill="DDDFEE" w:themeFill="accent5" w:themeFillTint="33"/>
          </w:tcPr>
          <w:p w14:paraId="3F545607" w14:textId="77777777" w:rsidR="00B61EFC" w:rsidRPr="000564FC" w:rsidRDefault="00B61EFC" w:rsidP="00B61EFC">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r>
              <w:rPr>
                <w:rFonts w:ascii="Franklin Gothic Medium" w:hAnsi="Franklin Gothic Medium"/>
                <w:sz w:val="18"/>
                <w:szCs w:val="18"/>
              </w:rPr>
              <w:t>12.7</w:t>
            </w:r>
          </w:p>
        </w:tc>
      </w:tr>
    </w:tbl>
    <w:p w14:paraId="252FBEB7" w14:textId="77777777" w:rsidR="00067DBC" w:rsidRDefault="00067DBC" w:rsidP="00067DBC">
      <w:pPr>
        <w:spacing w:after="0"/>
        <w:rPr>
          <w:sz w:val="18"/>
          <w:szCs w:val="18"/>
        </w:rPr>
      </w:pPr>
      <w:r w:rsidRPr="008F51E5">
        <w:rPr>
          <w:sz w:val="18"/>
          <w:szCs w:val="18"/>
        </w:rPr>
        <w:t>Savings presented reflect actual savings achieved by the programs and do not reflect Illinois state law-allowed conversion</w:t>
      </w:r>
      <w:r>
        <w:rPr>
          <w:sz w:val="18"/>
          <w:szCs w:val="18"/>
        </w:rPr>
        <w:t xml:space="preserve">s used in determining </w:t>
      </w:r>
      <w:r w:rsidRPr="008F51E5">
        <w:rPr>
          <w:sz w:val="18"/>
          <w:szCs w:val="18"/>
        </w:rPr>
        <w:t xml:space="preserve">goal </w:t>
      </w:r>
      <w:proofErr w:type="gramStart"/>
      <w:r w:rsidRPr="008F51E5">
        <w:rPr>
          <w:sz w:val="18"/>
          <w:szCs w:val="18"/>
        </w:rPr>
        <w:t>attainment</w:t>
      </w:r>
      <w:r>
        <w:rPr>
          <w:sz w:val="18"/>
          <w:szCs w:val="18"/>
        </w:rPr>
        <w:t xml:space="preserve"> [(</w:t>
      </w:r>
      <w:proofErr w:type="gramEnd"/>
      <w:r>
        <w:rPr>
          <w:sz w:val="18"/>
          <w:szCs w:val="18"/>
        </w:rPr>
        <w:t>b-25) or (b-27) conversions].</w:t>
      </w:r>
    </w:p>
    <w:p w14:paraId="33B445CD" w14:textId="77777777" w:rsidR="00067DBC" w:rsidRPr="008F51E5" w:rsidRDefault="00067DBC" w:rsidP="00067DBC">
      <w:pPr>
        <w:rPr>
          <w:sz w:val="18"/>
          <w:szCs w:val="18"/>
        </w:rPr>
      </w:pPr>
      <w:r>
        <w:rPr>
          <w:sz w:val="18"/>
          <w:szCs w:val="18"/>
        </w:rPr>
        <w:t xml:space="preserve">Program costs presented in the “Portfolio Total” row include unallocated portfolio-level administrative cost and therefore are </w:t>
      </w:r>
      <w:proofErr w:type="gramStart"/>
      <w:r>
        <w:rPr>
          <w:sz w:val="18"/>
          <w:szCs w:val="18"/>
        </w:rPr>
        <w:t>in excess of</w:t>
      </w:r>
      <w:proofErr w:type="gramEnd"/>
      <w:r>
        <w:rPr>
          <w:sz w:val="18"/>
          <w:szCs w:val="18"/>
        </w:rPr>
        <w:t xml:space="preserve"> the sums of the individual rows.</w:t>
      </w:r>
    </w:p>
    <w:p w14:paraId="25E6A2B7" w14:textId="77777777" w:rsidR="00067DBC" w:rsidRDefault="00067DBC" w:rsidP="00067DBC">
      <w:pPr>
        <w:rPr>
          <w:bCs/>
          <w:szCs w:val="20"/>
        </w:rPr>
      </w:pPr>
      <w:r>
        <w:br w:type="page"/>
      </w:r>
      <w:bookmarkStart w:id="94" w:name="_Hlk191841158"/>
    </w:p>
    <w:p w14:paraId="1BFD06C5" w14:textId="1E89D1D8" w:rsidR="00067DBC" w:rsidRDefault="00067DBC" w:rsidP="00067DBC">
      <w:pPr>
        <w:pStyle w:val="Caption"/>
      </w:pPr>
      <w:bookmarkStart w:id="95" w:name="_Ref191841224"/>
      <w:bookmarkStart w:id="96" w:name="_Toc192774892"/>
      <w:r>
        <w:lastRenderedPageBreak/>
        <w:t xml:space="preserve">Table </w:t>
      </w:r>
      <w:r>
        <w:fldChar w:fldCharType="begin"/>
      </w:r>
      <w:r>
        <w:instrText xml:space="preserve"> SEQ Table \* ARABIC </w:instrText>
      </w:r>
      <w:r>
        <w:fldChar w:fldCharType="separate"/>
      </w:r>
      <w:r w:rsidR="00F8548D">
        <w:rPr>
          <w:noProof/>
        </w:rPr>
        <w:t>18</w:t>
      </w:r>
      <w:r>
        <w:fldChar w:fldCharType="end"/>
      </w:r>
      <w:bookmarkEnd w:id="95"/>
      <w:r>
        <w:t xml:space="preserve">. </w:t>
      </w:r>
      <w:r w:rsidRPr="00177D6F">
        <w:t>202</w:t>
      </w:r>
      <w:r>
        <w:t>4</w:t>
      </w:r>
      <w:r w:rsidRPr="00177D6F">
        <w:t xml:space="preserve"> Detailed Verified Savings Results – </w:t>
      </w:r>
      <w:r>
        <w:t>Gas</w:t>
      </w:r>
      <w:bookmarkEnd w:id="96"/>
    </w:p>
    <w:tbl>
      <w:tblPr>
        <w:tblStyle w:val="ODCBasic-1"/>
        <w:tblW w:w="5000" w:type="pct"/>
        <w:tblCellMar>
          <w:top w:w="0" w:type="dxa"/>
        </w:tblCellMar>
        <w:tblLook w:val="04A0" w:firstRow="1" w:lastRow="0" w:firstColumn="1" w:lastColumn="0" w:noHBand="0" w:noVBand="1"/>
      </w:tblPr>
      <w:tblGrid>
        <w:gridCol w:w="2419"/>
        <w:gridCol w:w="2727"/>
        <w:gridCol w:w="1415"/>
        <w:gridCol w:w="1616"/>
        <w:gridCol w:w="1415"/>
        <w:gridCol w:w="1111"/>
        <w:gridCol w:w="911"/>
        <w:gridCol w:w="1009"/>
        <w:gridCol w:w="1111"/>
        <w:gridCol w:w="1513"/>
        <w:gridCol w:w="1415"/>
        <w:gridCol w:w="1817"/>
        <w:gridCol w:w="1210"/>
        <w:gridCol w:w="1111"/>
        <w:gridCol w:w="1817"/>
        <w:gridCol w:w="733"/>
      </w:tblGrid>
      <w:tr w:rsidR="00067DBC" w:rsidRPr="006629DB" w14:paraId="0EAA1A46" w14:textId="77777777" w:rsidTr="002C7F49">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518" w:type="pct"/>
            <w:vMerge w:val="restart"/>
            <w:shd w:val="clear" w:color="auto" w:fill="172B54" w:themeFill="accent1"/>
          </w:tcPr>
          <w:p w14:paraId="54F9878F" w14:textId="77777777" w:rsidR="00067DBC" w:rsidRPr="000564FC" w:rsidRDefault="00067DBC" w:rsidP="002C7F49">
            <w:pPr>
              <w:pStyle w:val="TableHeadingLeft"/>
              <w:rPr>
                <w:sz w:val="18"/>
                <w:szCs w:val="18"/>
              </w:rPr>
            </w:pPr>
            <w:r w:rsidRPr="000564FC">
              <w:rPr>
                <w:sz w:val="18"/>
                <w:szCs w:val="18"/>
              </w:rPr>
              <w:t>Initiative</w:t>
            </w:r>
          </w:p>
        </w:tc>
        <w:tc>
          <w:tcPr>
            <w:tcW w:w="584" w:type="pct"/>
            <w:vMerge w:val="restart"/>
            <w:tcBorders>
              <w:left w:val="single" w:sz="4" w:space="0" w:color="4D4D4F"/>
              <w:bottom w:val="single" w:sz="4" w:space="0" w:color="4D4D4F"/>
              <w:right w:val="single" w:sz="4" w:space="0" w:color="4D4D4F"/>
            </w:tcBorders>
            <w:shd w:val="clear" w:color="auto" w:fill="172B54" w:themeFill="accent1"/>
          </w:tcPr>
          <w:p w14:paraId="03D26A8B" w14:textId="77777777" w:rsidR="00067DBC" w:rsidRPr="000564FC" w:rsidRDefault="00067DBC" w:rsidP="002C7F49">
            <w:pPr>
              <w:pStyle w:val="TableHeadingLeft"/>
              <w:jc w:val="center"/>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Channel</w:t>
            </w:r>
          </w:p>
        </w:tc>
        <w:tc>
          <w:tcPr>
            <w:tcW w:w="303" w:type="pct"/>
            <w:tcBorders>
              <w:left w:val="single" w:sz="4" w:space="0" w:color="4D4D4F"/>
              <w:bottom w:val="single" w:sz="4" w:space="0" w:color="4D4D4F"/>
              <w:right w:val="single" w:sz="4" w:space="0" w:color="4D4D4F"/>
            </w:tcBorders>
          </w:tcPr>
          <w:p w14:paraId="3A4E180F"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Ex Ante Gross</w:t>
            </w:r>
          </w:p>
        </w:tc>
        <w:tc>
          <w:tcPr>
            <w:tcW w:w="346" w:type="pct"/>
            <w:tcBorders>
              <w:left w:val="single" w:sz="4" w:space="0" w:color="4D4D4F"/>
              <w:bottom w:val="single" w:sz="4" w:space="0" w:color="4D4D4F"/>
              <w:right w:val="single" w:sz="4" w:space="0" w:color="4D4D4F"/>
            </w:tcBorders>
            <w:shd w:val="clear" w:color="auto" w:fill="265EAC" w:themeFill="accent2"/>
          </w:tcPr>
          <w:p w14:paraId="60FDCED0"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Realization Rate</w:t>
            </w:r>
          </w:p>
        </w:tc>
        <w:tc>
          <w:tcPr>
            <w:tcW w:w="541" w:type="pct"/>
            <w:gridSpan w:val="2"/>
            <w:tcBorders>
              <w:left w:val="single" w:sz="4" w:space="0" w:color="4D4D4F"/>
              <w:bottom w:val="single" w:sz="4" w:space="0" w:color="4D4D4F"/>
              <w:right w:val="single" w:sz="4" w:space="0" w:color="4D4D4F"/>
            </w:tcBorders>
            <w:shd w:val="clear" w:color="auto" w:fill="265EAC" w:themeFill="accent2"/>
          </w:tcPr>
          <w:p w14:paraId="03F3F9D4"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Verified Gross</w:t>
            </w:r>
          </w:p>
        </w:tc>
        <w:tc>
          <w:tcPr>
            <w:tcW w:w="195" w:type="pct"/>
            <w:tcBorders>
              <w:left w:val="single" w:sz="4" w:space="0" w:color="4D4D4F"/>
              <w:bottom w:val="single" w:sz="4" w:space="0" w:color="4D4D4F"/>
              <w:right w:val="single" w:sz="4" w:space="0" w:color="4D4D4F"/>
            </w:tcBorders>
            <w:shd w:val="clear" w:color="auto" w:fill="1FA9E1" w:themeFill="accent3"/>
          </w:tcPr>
          <w:p w14:paraId="41C3DB95"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Deemed/ Used</w:t>
            </w:r>
          </w:p>
        </w:tc>
        <w:tc>
          <w:tcPr>
            <w:tcW w:w="1081" w:type="pct"/>
            <w:gridSpan w:val="4"/>
            <w:tcBorders>
              <w:left w:val="single" w:sz="4" w:space="0" w:color="4D4D4F"/>
              <w:bottom w:val="single" w:sz="4" w:space="0" w:color="4D4D4F"/>
              <w:right w:val="single" w:sz="4" w:space="0" w:color="4D4D4F"/>
            </w:tcBorders>
            <w:shd w:val="clear" w:color="auto" w:fill="1FA9E1" w:themeFill="accent3"/>
          </w:tcPr>
          <w:p w14:paraId="11CBCB5B"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Verified Net</w:t>
            </w:r>
          </w:p>
        </w:tc>
        <w:tc>
          <w:tcPr>
            <w:tcW w:w="389" w:type="pct"/>
            <w:tcBorders>
              <w:left w:val="single" w:sz="4" w:space="0" w:color="4D4D4F"/>
              <w:bottom w:val="single" w:sz="4" w:space="0" w:color="4D4D4F"/>
              <w:right w:val="single" w:sz="4" w:space="0" w:color="4D4D4F"/>
            </w:tcBorders>
            <w:shd w:val="clear" w:color="auto" w:fill="7E83C0" w:themeFill="accent4"/>
          </w:tcPr>
          <w:p w14:paraId="52452EEF"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Actual</w:t>
            </w:r>
          </w:p>
        </w:tc>
        <w:tc>
          <w:tcPr>
            <w:tcW w:w="259" w:type="pct"/>
            <w:tcBorders>
              <w:left w:val="single" w:sz="4" w:space="0" w:color="4D4D4F"/>
              <w:bottom w:val="single" w:sz="4" w:space="0" w:color="4D4D4F"/>
              <w:right w:val="single" w:sz="4" w:space="0" w:color="4D4D4F"/>
            </w:tcBorders>
            <w:shd w:val="clear" w:color="auto" w:fill="7E83C0" w:themeFill="accent4"/>
          </w:tcPr>
          <w:p w14:paraId="43266E9A"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iCs w:val="0"/>
                <w:sz w:val="18"/>
                <w:szCs w:val="18"/>
              </w:rPr>
            </w:pPr>
            <w:r w:rsidRPr="000564FC">
              <w:rPr>
                <w:sz w:val="18"/>
                <w:szCs w:val="18"/>
              </w:rPr>
              <w:t>Evaluation Estimate</w:t>
            </w:r>
          </w:p>
          <w:p w14:paraId="346DD360"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(Where Available)</w:t>
            </w:r>
          </w:p>
        </w:tc>
        <w:tc>
          <w:tcPr>
            <w:tcW w:w="627" w:type="pct"/>
            <w:gridSpan w:val="2"/>
            <w:tcBorders>
              <w:left w:val="single" w:sz="4" w:space="0" w:color="4D4D4F"/>
              <w:bottom w:val="single" w:sz="4" w:space="0" w:color="4D4D4F"/>
              <w:right w:val="single" w:sz="4" w:space="0" w:color="4D4D4F"/>
            </w:tcBorders>
            <w:shd w:val="clear" w:color="auto" w:fill="7E83C0" w:themeFill="accent4"/>
          </w:tcPr>
          <w:p w14:paraId="7452E403"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Participation</w:t>
            </w:r>
          </w:p>
        </w:tc>
        <w:tc>
          <w:tcPr>
            <w:tcW w:w="157" w:type="pct"/>
            <w:tcBorders>
              <w:left w:val="single" w:sz="4" w:space="0" w:color="4D4D4F"/>
              <w:bottom w:val="single" w:sz="4" w:space="0" w:color="4D4D4F"/>
            </w:tcBorders>
            <w:shd w:val="clear" w:color="auto" w:fill="5661AC" w:themeFill="accent5"/>
          </w:tcPr>
          <w:p w14:paraId="2B0234A3"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WAML</w:t>
            </w:r>
          </w:p>
        </w:tc>
      </w:tr>
      <w:tr w:rsidR="0019360C" w:rsidRPr="006629DB" w14:paraId="156E51BB" w14:textId="77777777" w:rsidTr="002C7F49">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518" w:type="pct"/>
            <w:vMerge/>
            <w:tcBorders>
              <w:bottom w:val="single" w:sz="4" w:space="0" w:color="4D4D4F"/>
            </w:tcBorders>
            <w:shd w:val="clear" w:color="auto" w:fill="172B54" w:themeFill="accent1"/>
          </w:tcPr>
          <w:p w14:paraId="2EBEA6BA" w14:textId="77777777" w:rsidR="00067DBC" w:rsidRPr="000564FC" w:rsidRDefault="00067DBC" w:rsidP="002C7F49">
            <w:pPr>
              <w:pStyle w:val="TableHeadingLeft"/>
              <w:rPr>
                <w:sz w:val="18"/>
                <w:szCs w:val="18"/>
              </w:rPr>
            </w:pPr>
          </w:p>
        </w:tc>
        <w:tc>
          <w:tcPr>
            <w:tcW w:w="584" w:type="pct"/>
            <w:vMerge/>
            <w:tcBorders>
              <w:left w:val="single" w:sz="4" w:space="0" w:color="4D4D4F"/>
              <w:bottom w:val="single" w:sz="4" w:space="0" w:color="4D4D4F"/>
              <w:right w:val="single" w:sz="4" w:space="0" w:color="4D4D4F"/>
            </w:tcBorders>
            <w:shd w:val="clear" w:color="auto" w:fill="172B54" w:themeFill="accent1"/>
          </w:tcPr>
          <w:p w14:paraId="630F095B" w14:textId="77777777" w:rsidR="00067DBC" w:rsidRPr="000564FC" w:rsidRDefault="00067DBC" w:rsidP="002C7F49">
            <w:pPr>
              <w:pStyle w:val="TableHeadingLeft"/>
              <w:cnfStyle w:val="100000000000" w:firstRow="1" w:lastRow="0" w:firstColumn="0" w:lastColumn="0" w:oddVBand="0" w:evenVBand="0" w:oddHBand="0" w:evenHBand="0" w:firstRowFirstColumn="0" w:firstRowLastColumn="0" w:lastRowFirstColumn="0" w:lastRowLastColumn="0"/>
              <w:rPr>
                <w:sz w:val="18"/>
                <w:szCs w:val="18"/>
              </w:rPr>
            </w:pPr>
          </w:p>
        </w:tc>
        <w:tc>
          <w:tcPr>
            <w:tcW w:w="303" w:type="pct"/>
            <w:tcBorders>
              <w:left w:val="single" w:sz="4" w:space="0" w:color="4D4D4F"/>
              <w:bottom w:val="single" w:sz="4" w:space="0" w:color="4D4D4F"/>
              <w:right w:val="single" w:sz="4" w:space="0" w:color="4D4D4F"/>
            </w:tcBorders>
          </w:tcPr>
          <w:p w14:paraId="52E6D574"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Energy Savings</w:t>
            </w:r>
          </w:p>
        </w:tc>
        <w:tc>
          <w:tcPr>
            <w:tcW w:w="346" w:type="pct"/>
            <w:tcBorders>
              <w:left w:val="single" w:sz="4" w:space="0" w:color="4D4D4F"/>
              <w:bottom w:val="single" w:sz="4" w:space="0" w:color="4D4D4F"/>
              <w:right w:val="single" w:sz="4" w:space="0" w:color="4D4D4F"/>
            </w:tcBorders>
            <w:shd w:val="clear" w:color="auto" w:fill="265EAC" w:themeFill="accent2"/>
          </w:tcPr>
          <w:p w14:paraId="7C97A478"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Energy Savings (Ex Ante Gross / Verified Gross)</w:t>
            </w:r>
          </w:p>
        </w:tc>
        <w:tc>
          <w:tcPr>
            <w:tcW w:w="303" w:type="pct"/>
            <w:tcBorders>
              <w:left w:val="single" w:sz="4" w:space="0" w:color="4D4D4F"/>
              <w:bottom w:val="single" w:sz="4" w:space="0" w:color="4D4D4F"/>
              <w:right w:val="single" w:sz="4" w:space="0" w:color="4D4D4F"/>
            </w:tcBorders>
            <w:shd w:val="clear" w:color="auto" w:fill="265EAC" w:themeFill="accent2"/>
          </w:tcPr>
          <w:p w14:paraId="608D8DEC"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Energy Savings</w:t>
            </w:r>
          </w:p>
        </w:tc>
        <w:tc>
          <w:tcPr>
            <w:tcW w:w="238" w:type="pct"/>
            <w:tcBorders>
              <w:left w:val="single" w:sz="4" w:space="0" w:color="4D4D4F"/>
              <w:bottom w:val="single" w:sz="4" w:space="0" w:color="4D4D4F"/>
              <w:right w:val="single" w:sz="4" w:space="0" w:color="4D4D4F"/>
            </w:tcBorders>
            <w:shd w:val="clear" w:color="auto" w:fill="265EAC" w:themeFill="accent2"/>
          </w:tcPr>
          <w:p w14:paraId="318A7A2A"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Lifetime Savings</w:t>
            </w:r>
          </w:p>
        </w:tc>
        <w:tc>
          <w:tcPr>
            <w:tcW w:w="195" w:type="pct"/>
            <w:tcBorders>
              <w:left w:val="single" w:sz="4" w:space="0" w:color="4D4D4F"/>
              <w:bottom w:val="single" w:sz="4" w:space="0" w:color="4D4D4F"/>
              <w:right w:val="single" w:sz="4" w:space="0" w:color="4D4D4F"/>
            </w:tcBorders>
            <w:shd w:val="clear" w:color="auto" w:fill="1FA9E1" w:themeFill="accent3"/>
          </w:tcPr>
          <w:p w14:paraId="287D7886"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NTGR</w:t>
            </w:r>
          </w:p>
        </w:tc>
        <w:tc>
          <w:tcPr>
            <w:tcW w:w="216" w:type="pct"/>
            <w:tcBorders>
              <w:left w:val="single" w:sz="4" w:space="0" w:color="4D4D4F"/>
              <w:bottom w:val="single" w:sz="4" w:space="0" w:color="4D4D4F"/>
              <w:right w:val="single" w:sz="4" w:space="0" w:color="4D4D4F"/>
            </w:tcBorders>
            <w:shd w:val="clear" w:color="auto" w:fill="1FA9E1" w:themeFill="accent3"/>
          </w:tcPr>
          <w:p w14:paraId="7085694B"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Annual Savings</w:t>
            </w:r>
          </w:p>
        </w:tc>
        <w:tc>
          <w:tcPr>
            <w:tcW w:w="238" w:type="pct"/>
            <w:tcBorders>
              <w:left w:val="single" w:sz="4" w:space="0" w:color="4D4D4F"/>
              <w:bottom w:val="single" w:sz="4" w:space="0" w:color="4D4D4F"/>
              <w:right w:val="single" w:sz="4" w:space="0" w:color="4D4D4F"/>
            </w:tcBorders>
            <w:shd w:val="clear" w:color="auto" w:fill="1FA9E1" w:themeFill="accent3"/>
          </w:tcPr>
          <w:p w14:paraId="4925606D"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Lifetime Savings</w:t>
            </w:r>
          </w:p>
        </w:tc>
        <w:tc>
          <w:tcPr>
            <w:tcW w:w="324" w:type="pct"/>
            <w:tcBorders>
              <w:left w:val="single" w:sz="4" w:space="0" w:color="4D4D4F"/>
              <w:bottom w:val="single" w:sz="4" w:space="0" w:color="4D4D4F"/>
              <w:right w:val="single" w:sz="4" w:space="0" w:color="4D4D4F"/>
            </w:tcBorders>
            <w:shd w:val="clear" w:color="auto" w:fill="1FA9E1" w:themeFill="accent3"/>
          </w:tcPr>
          <w:p w14:paraId="39F10AF1"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Cost per First Year Annual Savings</w:t>
            </w:r>
          </w:p>
        </w:tc>
        <w:tc>
          <w:tcPr>
            <w:tcW w:w="303" w:type="pct"/>
            <w:tcBorders>
              <w:left w:val="single" w:sz="4" w:space="0" w:color="4D4D4F"/>
              <w:bottom w:val="single" w:sz="4" w:space="0" w:color="4D4D4F"/>
              <w:right w:val="single" w:sz="4" w:space="0" w:color="4D4D4F"/>
            </w:tcBorders>
            <w:shd w:val="clear" w:color="auto" w:fill="1FA9E1" w:themeFill="accent3"/>
          </w:tcPr>
          <w:p w14:paraId="6F3D951E"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First Year Cost per Lifetime Savings</w:t>
            </w:r>
          </w:p>
        </w:tc>
        <w:tc>
          <w:tcPr>
            <w:tcW w:w="389" w:type="pct"/>
            <w:tcBorders>
              <w:left w:val="single" w:sz="4" w:space="0" w:color="4D4D4F"/>
              <w:bottom w:val="single" w:sz="4" w:space="0" w:color="4D4D4F"/>
              <w:right w:val="single" w:sz="4" w:space="0" w:color="4D4D4F"/>
            </w:tcBorders>
            <w:shd w:val="clear" w:color="auto" w:fill="7E83C0" w:themeFill="accent4"/>
          </w:tcPr>
          <w:p w14:paraId="288E8A60"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Program Costs</w:t>
            </w:r>
          </w:p>
        </w:tc>
        <w:tc>
          <w:tcPr>
            <w:tcW w:w="259" w:type="pct"/>
            <w:tcBorders>
              <w:left w:val="single" w:sz="4" w:space="0" w:color="4D4D4F"/>
              <w:bottom w:val="single" w:sz="4" w:space="0" w:color="4D4D4F"/>
              <w:right w:val="single" w:sz="4" w:space="0" w:color="4D4D4F"/>
            </w:tcBorders>
            <w:shd w:val="clear" w:color="auto" w:fill="7E83C0" w:themeFill="accent4"/>
          </w:tcPr>
          <w:p w14:paraId="7F5F3CB1"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NTGR</w:t>
            </w:r>
          </w:p>
        </w:tc>
        <w:tc>
          <w:tcPr>
            <w:tcW w:w="238" w:type="pct"/>
            <w:vMerge w:val="restart"/>
            <w:tcBorders>
              <w:left w:val="single" w:sz="4" w:space="0" w:color="4D4D4F"/>
              <w:right w:val="single" w:sz="4" w:space="0" w:color="4D4D4F"/>
            </w:tcBorders>
            <w:shd w:val="clear" w:color="auto" w:fill="7E83C0" w:themeFill="accent4"/>
          </w:tcPr>
          <w:p w14:paraId="03A85EDF"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 Units</w:t>
            </w:r>
          </w:p>
        </w:tc>
        <w:tc>
          <w:tcPr>
            <w:tcW w:w="389" w:type="pct"/>
            <w:vMerge w:val="restart"/>
            <w:tcBorders>
              <w:left w:val="single" w:sz="4" w:space="0" w:color="4D4D4F"/>
              <w:right w:val="single" w:sz="4" w:space="0" w:color="4D4D4F"/>
            </w:tcBorders>
            <w:shd w:val="clear" w:color="auto" w:fill="7E83C0" w:themeFill="accent4"/>
          </w:tcPr>
          <w:p w14:paraId="6D4C3B32"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Units Definition</w:t>
            </w:r>
          </w:p>
        </w:tc>
        <w:tc>
          <w:tcPr>
            <w:tcW w:w="157" w:type="pct"/>
            <w:vMerge w:val="restart"/>
            <w:tcBorders>
              <w:left w:val="single" w:sz="4" w:space="0" w:color="4D4D4F"/>
            </w:tcBorders>
            <w:shd w:val="clear" w:color="auto" w:fill="5661AC" w:themeFill="accent5"/>
          </w:tcPr>
          <w:p w14:paraId="2087D11F" w14:textId="77777777" w:rsidR="00067DBC" w:rsidRPr="000564FC" w:rsidRDefault="00067DBC" w:rsidP="002C7F49">
            <w:pPr>
              <w:pStyle w:val="TableHeadingCentered"/>
              <w:cnfStyle w:val="100000000000" w:firstRow="1" w:lastRow="0" w:firstColumn="0" w:lastColumn="0" w:oddVBand="0" w:evenVBand="0" w:oddHBand="0" w:evenHBand="0" w:firstRowFirstColumn="0" w:firstRowLastColumn="0" w:lastRowFirstColumn="0" w:lastRowLastColumn="0"/>
              <w:rPr>
                <w:sz w:val="18"/>
                <w:szCs w:val="18"/>
              </w:rPr>
            </w:pPr>
            <w:r w:rsidRPr="000564FC">
              <w:rPr>
                <w:sz w:val="18"/>
                <w:szCs w:val="18"/>
              </w:rPr>
              <w:t>Years</w:t>
            </w:r>
          </w:p>
        </w:tc>
      </w:tr>
      <w:tr w:rsidR="00067DBC" w:rsidRPr="006629DB" w14:paraId="144ABB56" w14:textId="77777777" w:rsidTr="002C7F4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518" w:type="pct"/>
            <w:vMerge/>
            <w:shd w:val="clear" w:color="auto" w:fill="172B54" w:themeFill="accent1"/>
          </w:tcPr>
          <w:p w14:paraId="444220A4" w14:textId="77777777" w:rsidR="00067DBC" w:rsidRPr="000564FC" w:rsidRDefault="00067DBC" w:rsidP="002C7F49">
            <w:pPr>
              <w:pStyle w:val="ODTable"/>
              <w:suppressAutoHyphens/>
              <w:ind w:left="72"/>
              <w:rPr>
                <w:sz w:val="18"/>
                <w:szCs w:val="18"/>
              </w:rPr>
            </w:pPr>
          </w:p>
        </w:tc>
        <w:tc>
          <w:tcPr>
            <w:tcW w:w="584" w:type="pct"/>
            <w:vMerge/>
            <w:shd w:val="clear" w:color="auto" w:fill="172B54" w:themeFill="accent1"/>
          </w:tcPr>
          <w:p w14:paraId="37EB05C6" w14:textId="77777777" w:rsidR="00067DBC" w:rsidRPr="000564FC" w:rsidRDefault="00067DBC" w:rsidP="002C7F49">
            <w:pPr>
              <w:pStyle w:val="ODTable"/>
              <w:suppressAutoHyphens/>
              <w:ind w:left="72"/>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053572" w:themeFill="text2"/>
          </w:tcPr>
          <w:p w14:paraId="4E4960BC"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Therms</w:t>
            </w:r>
            <w:proofErr w:type="spellEnd"/>
          </w:p>
        </w:tc>
        <w:tc>
          <w:tcPr>
            <w:tcW w:w="346" w:type="pct"/>
            <w:shd w:val="clear" w:color="auto" w:fill="265EAC" w:themeFill="accent2"/>
          </w:tcPr>
          <w:p w14:paraId="7010E409"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w:t>
            </w:r>
          </w:p>
        </w:tc>
        <w:tc>
          <w:tcPr>
            <w:tcW w:w="303" w:type="pct"/>
            <w:shd w:val="clear" w:color="auto" w:fill="265EAC" w:themeFill="accent2"/>
          </w:tcPr>
          <w:p w14:paraId="53092202"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proofErr w:type="spellStart"/>
            <w:r>
              <w:rPr>
                <w:rFonts w:cs="Calibri"/>
                <w:sz w:val="18"/>
                <w:szCs w:val="18"/>
              </w:rPr>
              <w:t>Therms</w:t>
            </w:r>
            <w:proofErr w:type="spellEnd"/>
          </w:p>
        </w:tc>
        <w:tc>
          <w:tcPr>
            <w:tcW w:w="238" w:type="pct"/>
            <w:shd w:val="clear" w:color="auto" w:fill="265EAC" w:themeFill="accent2"/>
          </w:tcPr>
          <w:p w14:paraId="206A8091"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proofErr w:type="spellStart"/>
            <w:r>
              <w:rPr>
                <w:rFonts w:cs="Calibri"/>
                <w:sz w:val="18"/>
                <w:szCs w:val="18"/>
              </w:rPr>
              <w:t>Therms</w:t>
            </w:r>
            <w:proofErr w:type="spellEnd"/>
          </w:p>
        </w:tc>
        <w:tc>
          <w:tcPr>
            <w:tcW w:w="195" w:type="pct"/>
            <w:shd w:val="clear" w:color="auto" w:fill="1FA9E1" w:themeFill="accent3"/>
          </w:tcPr>
          <w:p w14:paraId="30D30C59"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r w:rsidRPr="000564FC">
              <w:rPr>
                <w:rFonts w:cs="Calibri"/>
                <w:sz w:val="18"/>
                <w:szCs w:val="18"/>
              </w:rPr>
              <w:t>%</w:t>
            </w:r>
          </w:p>
        </w:tc>
        <w:tc>
          <w:tcPr>
            <w:tcW w:w="216" w:type="pct"/>
            <w:shd w:val="clear" w:color="auto" w:fill="1FA9E1" w:themeFill="accent3"/>
          </w:tcPr>
          <w:p w14:paraId="2B8D8BB9"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rFonts w:cs="Calibri"/>
                <w:sz w:val="18"/>
                <w:szCs w:val="18"/>
              </w:rPr>
            </w:pPr>
            <w:proofErr w:type="spellStart"/>
            <w:r>
              <w:rPr>
                <w:sz w:val="18"/>
                <w:szCs w:val="18"/>
              </w:rPr>
              <w:t>Therms</w:t>
            </w:r>
            <w:proofErr w:type="spellEnd"/>
          </w:p>
        </w:tc>
        <w:tc>
          <w:tcPr>
            <w:tcW w:w="238" w:type="pct"/>
            <w:shd w:val="clear" w:color="auto" w:fill="1FA9E1" w:themeFill="accent3"/>
          </w:tcPr>
          <w:p w14:paraId="7036066E"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Therms</w:t>
            </w:r>
            <w:proofErr w:type="spellEnd"/>
          </w:p>
        </w:tc>
        <w:tc>
          <w:tcPr>
            <w:tcW w:w="324" w:type="pct"/>
            <w:shd w:val="clear" w:color="auto" w:fill="1FA9E1" w:themeFill="accent3"/>
          </w:tcPr>
          <w:p w14:paraId="63A19C13"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$/Therm</w:t>
            </w:r>
          </w:p>
        </w:tc>
        <w:tc>
          <w:tcPr>
            <w:tcW w:w="303" w:type="pct"/>
            <w:shd w:val="clear" w:color="auto" w:fill="1FA9E1" w:themeFill="accent3"/>
          </w:tcPr>
          <w:p w14:paraId="49ED7751"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$/Therm</w:t>
            </w:r>
          </w:p>
        </w:tc>
        <w:tc>
          <w:tcPr>
            <w:tcW w:w="389" w:type="pct"/>
            <w:shd w:val="clear" w:color="auto" w:fill="7E83C0" w:themeFill="accent4"/>
          </w:tcPr>
          <w:p w14:paraId="36074647"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w:t>
            </w:r>
          </w:p>
        </w:tc>
        <w:tc>
          <w:tcPr>
            <w:tcW w:w="259" w:type="pct"/>
            <w:shd w:val="clear" w:color="auto" w:fill="7E83C0" w:themeFill="accent4"/>
          </w:tcPr>
          <w:p w14:paraId="501FE231"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r w:rsidRPr="000564FC">
              <w:rPr>
                <w:sz w:val="18"/>
                <w:szCs w:val="18"/>
              </w:rPr>
              <w:t>%</w:t>
            </w:r>
          </w:p>
        </w:tc>
        <w:tc>
          <w:tcPr>
            <w:tcW w:w="238" w:type="pct"/>
            <w:vMerge/>
            <w:shd w:val="clear" w:color="auto" w:fill="7E83C0" w:themeFill="accent4"/>
          </w:tcPr>
          <w:p w14:paraId="723547D1"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vMerge/>
            <w:shd w:val="clear" w:color="auto" w:fill="7E83C0" w:themeFill="accent4"/>
          </w:tcPr>
          <w:p w14:paraId="01110ADA"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vMerge/>
            <w:shd w:val="clear" w:color="auto" w:fill="5661AC" w:themeFill="accent5"/>
          </w:tcPr>
          <w:p w14:paraId="05D9EC4B" w14:textId="77777777" w:rsidR="00067DBC" w:rsidRPr="000564FC" w:rsidRDefault="00067DBC" w:rsidP="002C7F49">
            <w:pPr>
              <w:pStyle w:val="TableHeadingCentered"/>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63B3965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tcBorders>
              <w:right w:val="nil"/>
            </w:tcBorders>
            <w:shd w:val="clear" w:color="auto" w:fill="4A4D56" w:themeFill="text1"/>
          </w:tcPr>
          <w:p w14:paraId="12019929" w14:textId="77777777" w:rsidR="00067DBC" w:rsidRPr="000564FC" w:rsidRDefault="00067DBC" w:rsidP="002C7F49">
            <w:pPr>
              <w:pStyle w:val="TableLeftText"/>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Residential Program</w:t>
            </w:r>
          </w:p>
        </w:tc>
        <w:tc>
          <w:tcPr>
            <w:tcW w:w="584" w:type="pct"/>
            <w:tcBorders>
              <w:left w:val="nil"/>
              <w:right w:val="nil"/>
            </w:tcBorders>
            <w:shd w:val="clear" w:color="auto" w:fill="4A4D56" w:themeFill="text1"/>
          </w:tcPr>
          <w:p w14:paraId="625D75F7" w14:textId="77777777" w:rsidR="00067DBC" w:rsidRPr="000564FC" w:rsidRDefault="00067DBC" w:rsidP="002C7F49">
            <w:pPr>
              <w:pStyle w:val="TableLeftTex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tcBorders>
              <w:left w:val="nil"/>
              <w:right w:val="nil"/>
            </w:tcBorders>
            <w:shd w:val="clear" w:color="auto" w:fill="4A4D56" w:themeFill="text1"/>
          </w:tcPr>
          <w:p w14:paraId="36838058"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tcBorders>
              <w:left w:val="nil"/>
              <w:right w:val="nil"/>
            </w:tcBorders>
            <w:shd w:val="clear" w:color="auto" w:fill="4A4D56" w:themeFill="text1"/>
          </w:tcPr>
          <w:p w14:paraId="6DDF866F"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tcBorders>
              <w:left w:val="nil"/>
              <w:right w:val="nil"/>
            </w:tcBorders>
            <w:shd w:val="clear" w:color="auto" w:fill="4A4D56" w:themeFill="text1"/>
          </w:tcPr>
          <w:p w14:paraId="333541B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tcBorders>
              <w:left w:val="nil"/>
              <w:right w:val="nil"/>
            </w:tcBorders>
            <w:shd w:val="clear" w:color="auto" w:fill="4A4D56" w:themeFill="text1"/>
          </w:tcPr>
          <w:p w14:paraId="1D25F666"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tcBorders>
              <w:left w:val="nil"/>
              <w:right w:val="nil"/>
            </w:tcBorders>
            <w:shd w:val="clear" w:color="auto" w:fill="4A4D56" w:themeFill="text1"/>
          </w:tcPr>
          <w:p w14:paraId="546A6B63"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tcBorders>
              <w:left w:val="nil"/>
              <w:right w:val="nil"/>
            </w:tcBorders>
            <w:shd w:val="clear" w:color="auto" w:fill="4A4D56" w:themeFill="text1"/>
          </w:tcPr>
          <w:p w14:paraId="11A6A7F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tcBorders>
              <w:left w:val="nil"/>
              <w:right w:val="nil"/>
            </w:tcBorders>
            <w:shd w:val="clear" w:color="auto" w:fill="4A4D56" w:themeFill="text1"/>
          </w:tcPr>
          <w:p w14:paraId="41871B0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324" w:type="pct"/>
            <w:tcBorders>
              <w:left w:val="nil"/>
              <w:right w:val="nil"/>
            </w:tcBorders>
            <w:shd w:val="clear" w:color="auto" w:fill="4A4D56" w:themeFill="text1"/>
          </w:tcPr>
          <w:p w14:paraId="7725BDE0"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303" w:type="pct"/>
            <w:tcBorders>
              <w:left w:val="nil"/>
              <w:right w:val="nil"/>
            </w:tcBorders>
            <w:shd w:val="clear" w:color="auto" w:fill="4A4D56" w:themeFill="text1"/>
          </w:tcPr>
          <w:p w14:paraId="7DF239C0"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tcBorders>
              <w:left w:val="nil"/>
              <w:right w:val="nil"/>
            </w:tcBorders>
            <w:shd w:val="clear" w:color="auto" w:fill="4A4D56" w:themeFill="text1"/>
          </w:tcPr>
          <w:p w14:paraId="509E72D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259" w:type="pct"/>
            <w:tcBorders>
              <w:left w:val="nil"/>
              <w:right w:val="nil"/>
            </w:tcBorders>
            <w:shd w:val="clear" w:color="auto" w:fill="4A4D56" w:themeFill="text1"/>
          </w:tcPr>
          <w:p w14:paraId="69A9425A"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238" w:type="pct"/>
            <w:tcBorders>
              <w:left w:val="nil"/>
              <w:right w:val="nil"/>
            </w:tcBorders>
            <w:shd w:val="clear" w:color="auto" w:fill="4A4D56" w:themeFill="text1"/>
          </w:tcPr>
          <w:p w14:paraId="1D636E2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389" w:type="pct"/>
            <w:tcBorders>
              <w:left w:val="nil"/>
              <w:right w:val="nil"/>
            </w:tcBorders>
            <w:shd w:val="clear" w:color="auto" w:fill="4A4D56" w:themeFill="text1"/>
          </w:tcPr>
          <w:p w14:paraId="0A84D65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157" w:type="pct"/>
            <w:tcBorders>
              <w:left w:val="nil"/>
            </w:tcBorders>
            <w:shd w:val="clear" w:color="auto" w:fill="4A4D56" w:themeFill="text1"/>
          </w:tcPr>
          <w:p w14:paraId="2520504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highlight w:val="yellow"/>
              </w:rPr>
            </w:pPr>
          </w:p>
        </w:tc>
      </w:tr>
      <w:tr w:rsidR="00770205" w:rsidRPr="006629DB" w14:paraId="1D2DF11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B9C7C4C" w14:textId="07C2C033" w:rsidR="00770205" w:rsidRPr="000564FC" w:rsidRDefault="00770205" w:rsidP="00770205">
            <w:pPr>
              <w:pStyle w:val="TableLeftText"/>
              <w:rPr>
                <w:sz w:val="18"/>
                <w:szCs w:val="18"/>
              </w:rPr>
            </w:pPr>
            <w:r>
              <w:rPr>
                <w:rFonts w:cs="Calibri"/>
                <w:color w:val="4A4D56"/>
                <w:sz w:val="18"/>
                <w:szCs w:val="18"/>
              </w:rPr>
              <w:t xml:space="preserve">Retail Products </w:t>
            </w:r>
          </w:p>
        </w:tc>
        <w:tc>
          <w:tcPr>
            <w:tcW w:w="584" w:type="pct"/>
            <w:shd w:val="clear" w:color="auto" w:fill="BFCEED" w:themeFill="accent1" w:themeFillTint="33"/>
          </w:tcPr>
          <w:p w14:paraId="3D595BE2" w14:textId="145AE4DC"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Income Qualified</w:t>
            </w:r>
          </w:p>
        </w:tc>
        <w:tc>
          <w:tcPr>
            <w:tcW w:w="303" w:type="pct"/>
            <w:shd w:val="clear" w:color="auto" w:fill="B3D3FB" w:themeFill="text2" w:themeFillTint="33"/>
          </w:tcPr>
          <w:p w14:paraId="2826B2B6" w14:textId="48FFCA6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FA2C023" w14:textId="78AABC1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51B1FE9E" w14:textId="5A1BD442"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3481CFA3" w14:textId="75CD254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73076AB1" w14:textId="17C82F5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7E94F744" w14:textId="0FD920B3"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33DEEC5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324" w:type="pct"/>
            <w:shd w:val="clear" w:color="auto" w:fill="D2EDF9" w:themeFill="accent3" w:themeFillTint="33"/>
          </w:tcPr>
          <w:p w14:paraId="0A1E344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303" w:type="pct"/>
            <w:shd w:val="clear" w:color="auto" w:fill="D2EDF9" w:themeFill="accent3" w:themeFillTint="33"/>
          </w:tcPr>
          <w:p w14:paraId="43C7693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541D623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259" w:type="pct"/>
            <w:shd w:val="clear" w:color="auto" w:fill="E5E5F2" w:themeFill="accent4" w:themeFillTint="33"/>
          </w:tcPr>
          <w:p w14:paraId="064E9B86" w14:textId="1656828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10B12399" w14:textId="67ED515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389" w:type="pct"/>
            <w:shd w:val="clear" w:color="auto" w:fill="E5E5F2" w:themeFill="accent4" w:themeFillTint="33"/>
          </w:tcPr>
          <w:p w14:paraId="76AF55BB" w14:textId="789E31E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57" w:type="pct"/>
            <w:shd w:val="clear" w:color="auto" w:fill="DDDFEE" w:themeFill="accent5" w:themeFillTint="33"/>
          </w:tcPr>
          <w:p w14:paraId="3F78ED2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770205" w:rsidRPr="006629DB" w14:paraId="3D128B0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687D57B" w14:textId="75670AF9" w:rsidR="00770205" w:rsidRPr="000564FC" w:rsidRDefault="00770205" w:rsidP="00770205">
            <w:pPr>
              <w:pStyle w:val="TableLeftText"/>
              <w:rPr>
                <w:sz w:val="18"/>
                <w:szCs w:val="18"/>
              </w:rPr>
            </w:pPr>
            <w:r>
              <w:rPr>
                <w:rFonts w:cs="Calibri"/>
                <w:color w:val="4A4D56"/>
                <w:sz w:val="18"/>
                <w:szCs w:val="18"/>
              </w:rPr>
              <w:t xml:space="preserve">Retail Products </w:t>
            </w:r>
          </w:p>
        </w:tc>
        <w:tc>
          <w:tcPr>
            <w:tcW w:w="584" w:type="pct"/>
            <w:shd w:val="clear" w:color="auto" w:fill="BFCEED" w:themeFill="accent1" w:themeFillTint="33"/>
          </w:tcPr>
          <w:p w14:paraId="24159166" w14:textId="2737B5F1" w:rsidR="00770205" w:rsidRPr="000564FC"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Market Rate</w:t>
            </w:r>
          </w:p>
        </w:tc>
        <w:tc>
          <w:tcPr>
            <w:tcW w:w="303" w:type="pct"/>
            <w:shd w:val="clear" w:color="auto" w:fill="B3D3FB" w:themeFill="text2" w:themeFillTint="33"/>
          </w:tcPr>
          <w:p w14:paraId="6A77B4FE" w14:textId="55C65F7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0D67644B" w14:textId="2732752F"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527F59ED" w14:textId="503548B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7AA9BA47" w14:textId="1B66C23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C5C262F" w14:textId="72A768A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5631C498" w14:textId="4F11A30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4E4FEE2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6B7066C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52247A0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5C6A10D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6C141D8E" w14:textId="7724851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5ABEC58C" w14:textId="298F3D04"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63AD7A87" w14:textId="1805976F"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114271C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34FB152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B6C2878" w14:textId="33756DF6" w:rsidR="00770205" w:rsidRPr="000564FC" w:rsidRDefault="00770205" w:rsidP="00770205">
            <w:pPr>
              <w:pStyle w:val="TableLeftText"/>
              <w:rPr>
                <w:sz w:val="18"/>
                <w:szCs w:val="18"/>
              </w:rPr>
            </w:pPr>
            <w:r>
              <w:rPr>
                <w:rFonts w:cs="Calibri"/>
                <w:color w:val="4A4D56"/>
                <w:sz w:val="18"/>
                <w:szCs w:val="18"/>
              </w:rPr>
              <w:t xml:space="preserve">Retail Products </w:t>
            </w:r>
          </w:p>
        </w:tc>
        <w:tc>
          <w:tcPr>
            <w:tcW w:w="584" w:type="pct"/>
            <w:shd w:val="clear" w:color="auto" w:fill="BFCEED" w:themeFill="accent1" w:themeFillTint="33"/>
          </w:tcPr>
          <w:p w14:paraId="4F593B6A" w14:textId="4A0526E6"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Income Qualified Carryover</w:t>
            </w:r>
          </w:p>
        </w:tc>
        <w:tc>
          <w:tcPr>
            <w:tcW w:w="303" w:type="pct"/>
            <w:shd w:val="clear" w:color="auto" w:fill="B3D3FB" w:themeFill="text2" w:themeFillTint="33"/>
          </w:tcPr>
          <w:p w14:paraId="2D4937B6" w14:textId="3B38570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CEB11AA" w14:textId="5AF319F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11118AB7" w14:textId="5465A83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69034DF1" w14:textId="509A8ED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3ED210FC" w14:textId="5591ACA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1BE265BF" w14:textId="62864F0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57660DD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012D55C3"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433FC1D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7FFCA1E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19DB50AB" w14:textId="5EE717B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0DB26373" w14:textId="37C6C101"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0F9DF684" w14:textId="36495ECD"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3A06E13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00F4CD2F"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1F687EDF" w14:textId="4668577E" w:rsidR="00770205" w:rsidRDefault="00770205" w:rsidP="00770205">
            <w:pPr>
              <w:pStyle w:val="TableLeftText"/>
              <w:rPr>
                <w:sz w:val="18"/>
                <w:szCs w:val="18"/>
              </w:rPr>
            </w:pPr>
            <w:r>
              <w:rPr>
                <w:rFonts w:cs="Calibri"/>
                <w:color w:val="4A4D56"/>
                <w:sz w:val="18"/>
                <w:szCs w:val="18"/>
              </w:rPr>
              <w:t xml:space="preserve">Retail Products </w:t>
            </w:r>
          </w:p>
        </w:tc>
        <w:tc>
          <w:tcPr>
            <w:tcW w:w="584" w:type="pct"/>
            <w:shd w:val="clear" w:color="auto" w:fill="BFCEED" w:themeFill="accent1" w:themeFillTint="33"/>
          </w:tcPr>
          <w:p w14:paraId="06D7FFD7" w14:textId="6521705E"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Market Rate Carryover</w:t>
            </w:r>
          </w:p>
        </w:tc>
        <w:tc>
          <w:tcPr>
            <w:tcW w:w="303" w:type="pct"/>
            <w:shd w:val="clear" w:color="auto" w:fill="B3D3FB" w:themeFill="text2" w:themeFillTint="33"/>
          </w:tcPr>
          <w:p w14:paraId="277E91E1" w14:textId="7C10600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3DAF361C" w14:textId="015A30D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05BBB40E" w14:textId="62C381DF"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0CF7356F" w14:textId="0985881D"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02C9AD95" w14:textId="53C00B7C"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0E14E0D5" w14:textId="7F67FF74"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52020B9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3383AA4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5D271F8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40F18CC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DB2AF79" w14:textId="40DD288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1B026E21" w14:textId="1E9E7AE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4747B22B" w14:textId="7B704F48"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248AEEB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44437EB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4A702A5D" w14:textId="1E90EE9B" w:rsidR="00770205" w:rsidRDefault="00770205" w:rsidP="00770205">
            <w:pPr>
              <w:pStyle w:val="TableLeftText"/>
              <w:rPr>
                <w:sz w:val="18"/>
                <w:szCs w:val="18"/>
              </w:rPr>
            </w:pPr>
            <w:r>
              <w:rPr>
                <w:rFonts w:cs="Calibri"/>
                <w:color w:val="4A4D56"/>
                <w:sz w:val="18"/>
                <w:szCs w:val="18"/>
              </w:rPr>
              <w:t xml:space="preserve">Income Qualified </w:t>
            </w:r>
          </w:p>
        </w:tc>
        <w:tc>
          <w:tcPr>
            <w:tcW w:w="584" w:type="pct"/>
            <w:shd w:val="clear" w:color="auto" w:fill="BFCEED" w:themeFill="accent1" w:themeFillTint="33"/>
          </w:tcPr>
          <w:p w14:paraId="4C1604A8" w14:textId="5EAD3EC4"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Single Family</w:t>
            </w:r>
          </w:p>
        </w:tc>
        <w:tc>
          <w:tcPr>
            <w:tcW w:w="303" w:type="pct"/>
            <w:shd w:val="clear" w:color="auto" w:fill="B3D3FB" w:themeFill="text2" w:themeFillTint="33"/>
          </w:tcPr>
          <w:p w14:paraId="03BD824B" w14:textId="0073E7AC"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183C21E2" w14:textId="3031C58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55EC9C23" w14:textId="643068C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712EDE07" w14:textId="21F58D0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2E08A14A" w14:textId="7ED3E49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1C205958" w14:textId="7F5BC65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2010470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2B82C5D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52EDB10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03AE7D5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80C4EB9" w14:textId="462E756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6B34E54C" w14:textId="79AEE90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674D897F" w14:textId="1B3FCD2D"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24A0B4C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0A9B0B91"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C60550B" w14:textId="3FF6D484" w:rsidR="00770205" w:rsidRDefault="00770205" w:rsidP="00770205">
            <w:pPr>
              <w:pStyle w:val="TableLeftText"/>
              <w:rPr>
                <w:sz w:val="18"/>
                <w:szCs w:val="18"/>
              </w:rPr>
            </w:pPr>
            <w:r>
              <w:rPr>
                <w:rFonts w:cs="Calibri"/>
                <w:color w:val="4A4D56"/>
                <w:sz w:val="18"/>
                <w:szCs w:val="18"/>
              </w:rPr>
              <w:t xml:space="preserve">Income Qualified </w:t>
            </w:r>
          </w:p>
        </w:tc>
        <w:tc>
          <w:tcPr>
            <w:tcW w:w="584" w:type="pct"/>
            <w:shd w:val="clear" w:color="auto" w:fill="BFCEED" w:themeFill="accent1" w:themeFillTint="33"/>
          </w:tcPr>
          <w:p w14:paraId="46AB73CB" w14:textId="6EF3FAA1"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CAA</w:t>
            </w:r>
          </w:p>
        </w:tc>
        <w:tc>
          <w:tcPr>
            <w:tcW w:w="303" w:type="pct"/>
            <w:shd w:val="clear" w:color="auto" w:fill="B3D3FB" w:themeFill="text2" w:themeFillTint="33"/>
          </w:tcPr>
          <w:p w14:paraId="3A8602B2" w14:textId="255EE92E"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222393C" w14:textId="3F7923C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35FA9315" w14:textId="2D0F4FE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68E94FC3" w14:textId="02F5DC41"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9A5E273" w14:textId="6B38F40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4BED4439" w14:textId="211CDC3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685F0E81"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21BC55D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5136C17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3CA81B2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1826F18D" w14:textId="530926A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290D7927" w14:textId="7536D15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04ED9939" w14:textId="798B6F39"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2A1BE13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32B73CAD"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9176954" w14:textId="3AF5DF89" w:rsidR="00770205" w:rsidRDefault="00770205" w:rsidP="00770205">
            <w:pPr>
              <w:pStyle w:val="TableLeftText"/>
              <w:rPr>
                <w:sz w:val="18"/>
                <w:szCs w:val="18"/>
              </w:rPr>
            </w:pPr>
            <w:r>
              <w:rPr>
                <w:rFonts w:cs="Calibri"/>
                <w:color w:val="4A4D56"/>
                <w:sz w:val="18"/>
                <w:szCs w:val="18"/>
              </w:rPr>
              <w:t xml:space="preserve">Income Qualified </w:t>
            </w:r>
          </w:p>
        </w:tc>
        <w:tc>
          <w:tcPr>
            <w:tcW w:w="584" w:type="pct"/>
            <w:shd w:val="clear" w:color="auto" w:fill="BFCEED" w:themeFill="accent1" w:themeFillTint="33"/>
          </w:tcPr>
          <w:p w14:paraId="1230A970" w14:textId="1A683CB8"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Joint Utility</w:t>
            </w:r>
          </w:p>
        </w:tc>
        <w:tc>
          <w:tcPr>
            <w:tcW w:w="303" w:type="pct"/>
            <w:shd w:val="clear" w:color="auto" w:fill="B3D3FB" w:themeFill="text2" w:themeFillTint="33"/>
          </w:tcPr>
          <w:p w14:paraId="6FE0F325" w14:textId="3D0ADACA"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23DCBAE5" w14:textId="680FB11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65FA9EC2" w14:textId="1AD13CA1"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5AA961D3" w14:textId="3B432AE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2F1AC454" w14:textId="3C48431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30EA9AD7" w14:textId="1386FA9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3342F92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2B5D3F3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334EBFA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6F1A422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D67C022" w14:textId="27CA360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7042B197" w14:textId="1E907AF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49A3D482" w14:textId="452459A9"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2D1C535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3FAA557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A9F9888" w14:textId="6A8BDF91" w:rsidR="00770205" w:rsidRDefault="00770205" w:rsidP="00770205">
            <w:pPr>
              <w:pStyle w:val="TableLeftText"/>
              <w:rPr>
                <w:sz w:val="18"/>
                <w:szCs w:val="18"/>
              </w:rPr>
            </w:pPr>
            <w:r>
              <w:rPr>
                <w:rFonts w:cs="Calibri"/>
                <w:color w:val="4A4D56"/>
                <w:sz w:val="18"/>
                <w:szCs w:val="18"/>
              </w:rPr>
              <w:t xml:space="preserve">Income Qualified </w:t>
            </w:r>
          </w:p>
        </w:tc>
        <w:tc>
          <w:tcPr>
            <w:tcW w:w="584" w:type="pct"/>
            <w:shd w:val="clear" w:color="auto" w:fill="BFCEED" w:themeFill="accent1" w:themeFillTint="33"/>
          </w:tcPr>
          <w:p w14:paraId="17AB7186" w14:textId="6811729C"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Smart Savers</w:t>
            </w:r>
          </w:p>
        </w:tc>
        <w:tc>
          <w:tcPr>
            <w:tcW w:w="303" w:type="pct"/>
            <w:shd w:val="clear" w:color="auto" w:fill="B3D3FB" w:themeFill="text2" w:themeFillTint="33"/>
          </w:tcPr>
          <w:p w14:paraId="272EEC89" w14:textId="031AD1ED"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E3508DA" w14:textId="3381515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63A17F2A" w14:textId="4E15C05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459864A5" w14:textId="651E14ED"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0259E77C" w14:textId="10353AD1"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4E1235D8" w14:textId="61A84A3F"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2BA8895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BA9D8B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DEB1BC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7F965A1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460C1826" w14:textId="6EB2EFD9"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59074F55" w14:textId="734D11D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087B4E71" w14:textId="647839C4"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7D7D015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64F37DA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117A1A9" w14:textId="0066C0C3" w:rsidR="00770205" w:rsidRDefault="00770205" w:rsidP="00770205">
            <w:pPr>
              <w:pStyle w:val="TableLeftText"/>
              <w:rPr>
                <w:rFonts w:cs="Calibri"/>
                <w:color w:val="4A4D56"/>
                <w:sz w:val="18"/>
                <w:szCs w:val="18"/>
              </w:rPr>
            </w:pPr>
            <w:r>
              <w:rPr>
                <w:rFonts w:cs="Calibri"/>
                <w:color w:val="4A4D56"/>
                <w:sz w:val="18"/>
                <w:szCs w:val="18"/>
              </w:rPr>
              <w:t xml:space="preserve">Income Qualified </w:t>
            </w:r>
          </w:p>
        </w:tc>
        <w:tc>
          <w:tcPr>
            <w:tcW w:w="584" w:type="pct"/>
            <w:shd w:val="clear" w:color="auto" w:fill="BFCEED" w:themeFill="accent1" w:themeFillTint="33"/>
          </w:tcPr>
          <w:p w14:paraId="72A19746" w14:textId="00FDB683"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MHAS</w:t>
            </w:r>
          </w:p>
        </w:tc>
        <w:tc>
          <w:tcPr>
            <w:tcW w:w="303" w:type="pct"/>
            <w:shd w:val="clear" w:color="auto" w:fill="B3D3FB" w:themeFill="text2" w:themeFillTint="33"/>
          </w:tcPr>
          <w:p w14:paraId="3C35523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49EDBB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3D600B5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289FFF3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1D0ECF6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C38586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78A405B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477B197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588CACB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27C9E09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06B8BB2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77EF60A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355D2444" w14:textId="7777777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514526E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51DADF9"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E9063D1" w14:textId="204F5F83" w:rsidR="00770205" w:rsidRDefault="00770205" w:rsidP="00770205">
            <w:pPr>
              <w:pStyle w:val="TableLeftText"/>
              <w:rPr>
                <w:rFonts w:cs="Calibri"/>
                <w:color w:val="4A4D56"/>
                <w:sz w:val="18"/>
                <w:szCs w:val="18"/>
              </w:rPr>
            </w:pPr>
            <w:r>
              <w:rPr>
                <w:rFonts w:cs="Calibri"/>
                <w:color w:val="4A4D56"/>
                <w:sz w:val="18"/>
                <w:szCs w:val="18"/>
              </w:rPr>
              <w:t xml:space="preserve">Income Qualified </w:t>
            </w:r>
          </w:p>
        </w:tc>
        <w:tc>
          <w:tcPr>
            <w:tcW w:w="584" w:type="pct"/>
            <w:shd w:val="clear" w:color="auto" w:fill="BFCEED" w:themeFill="accent1" w:themeFillTint="33"/>
          </w:tcPr>
          <w:p w14:paraId="54521221" w14:textId="200FF4FA"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Healthier Homes</w:t>
            </w:r>
          </w:p>
        </w:tc>
        <w:tc>
          <w:tcPr>
            <w:tcW w:w="303" w:type="pct"/>
            <w:shd w:val="clear" w:color="auto" w:fill="B3D3FB" w:themeFill="text2" w:themeFillTint="33"/>
          </w:tcPr>
          <w:p w14:paraId="6B8E679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5128B90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224F7C7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E67A8A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49BE791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2B395B4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527065E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3D02FD7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6C31CF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763C16C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7A43070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78720BB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4A3903F0"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0858E38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6C5511F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83E7DC5" w14:textId="1F35E574" w:rsidR="00770205" w:rsidRDefault="00770205" w:rsidP="00770205">
            <w:pPr>
              <w:pStyle w:val="TableLeftText"/>
              <w:rPr>
                <w:rFonts w:cs="Calibri"/>
                <w:color w:val="4A4D56"/>
                <w:sz w:val="18"/>
                <w:szCs w:val="18"/>
              </w:rPr>
            </w:pPr>
            <w:r>
              <w:rPr>
                <w:rFonts w:cs="Calibri"/>
                <w:color w:val="4A4D56"/>
                <w:sz w:val="18"/>
                <w:szCs w:val="18"/>
              </w:rPr>
              <w:t xml:space="preserve">Income Qualified </w:t>
            </w:r>
          </w:p>
        </w:tc>
        <w:tc>
          <w:tcPr>
            <w:tcW w:w="584" w:type="pct"/>
            <w:shd w:val="clear" w:color="auto" w:fill="BFCEED" w:themeFill="accent1" w:themeFillTint="33"/>
          </w:tcPr>
          <w:p w14:paraId="106BDEE3" w14:textId="71B04351"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Electrification</w:t>
            </w:r>
          </w:p>
        </w:tc>
        <w:tc>
          <w:tcPr>
            <w:tcW w:w="303" w:type="pct"/>
            <w:shd w:val="clear" w:color="auto" w:fill="B3D3FB" w:themeFill="text2" w:themeFillTint="33"/>
          </w:tcPr>
          <w:p w14:paraId="155268BC"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1588A59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3645CC5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2EBD768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35781C9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BED8BA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43131B0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4F00861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622573E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51DB4FC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6591A69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1FAFF7D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3CC4EEC5" w14:textId="7777777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6A08BD5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40E3833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2DB1E8CF" w14:textId="121372C4" w:rsidR="00770205" w:rsidRDefault="00770205" w:rsidP="00770205">
            <w:pPr>
              <w:pStyle w:val="TableLeftText"/>
              <w:rPr>
                <w:rFonts w:cs="Calibri"/>
                <w:color w:val="4A4D56"/>
                <w:sz w:val="18"/>
                <w:szCs w:val="18"/>
              </w:rPr>
            </w:pPr>
            <w:r>
              <w:rPr>
                <w:rFonts w:cs="Calibri"/>
                <w:color w:val="4A4D56"/>
                <w:sz w:val="18"/>
                <w:szCs w:val="18"/>
              </w:rPr>
              <w:t xml:space="preserve">Income Qualified </w:t>
            </w:r>
          </w:p>
        </w:tc>
        <w:tc>
          <w:tcPr>
            <w:tcW w:w="584" w:type="pct"/>
            <w:shd w:val="clear" w:color="auto" w:fill="BFCEED" w:themeFill="accent1" w:themeFillTint="33"/>
          </w:tcPr>
          <w:p w14:paraId="1D3D24DE" w14:textId="0F2671E4"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Carryover</w:t>
            </w:r>
          </w:p>
        </w:tc>
        <w:tc>
          <w:tcPr>
            <w:tcW w:w="303" w:type="pct"/>
            <w:shd w:val="clear" w:color="auto" w:fill="B3D3FB" w:themeFill="text2" w:themeFillTint="33"/>
          </w:tcPr>
          <w:p w14:paraId="4DBC200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52696E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7477B8E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2FFDCE2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36DADD2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0561F37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9C6B43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6FD59F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7071D98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5AB23CA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2CD7FD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20AE95F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64BC721C"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2C72884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4608124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AB01485" w14:textId="50EC0381" w:rsidR="00770205" w:rsidRDefault="00770205" w:rsidP="00770205">
            <w:pPr>
              <w:pStyle w:val="TableLeftText"/>
              <w:rPr>
                <w:rFonts w:cs="Calibri"/>
                <w:color w:val="4A4D56"/>
                <w:sz w:val="18"/>
                <w:szCs w:val="18"/>
              </w:rPr>
            </w:pPr>
            <w:r>
              <w:rPr>
                <w:rFonts w:cs="Calibri"/>
                <w:color w:val="4A4D56"/>
                <w:sz w:val="18"/>
                <w:szCs w:val="18"/>
              </w:rPr>
              <w:t xml:space="preserve">Multifamily </w:t>
            </w:r>
          </w:p>
        </w:tc>
        <w:tc>
          <w:tcPr>
            <w:tcW w:w="584" w:type="pct"/>
            <w:shd w:val="clear" w:color="auto" w:fill="BFCEED" w:themeFill="accent1" w:themeFillTint="33"/>
          </w:tcPr>
          <w:p w14:paraId="100FF78E" w14:textId="094F573D"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Income Qualified</w:t>
            </w:r>
          </w:p>
        </w:tc>
        <w:tc>
          <w:tcPr>
            <w:tcW w:w="303" w:type="pct"/>
            <w:shd w:val="clear" w:color="auto" w:fill="B3D3FB" w:themeFill="text2" w:themeFillTint="33"/>
          </w:tcPr>
          <w:p w14:paraId="4F98AFC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2F9BE05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09FA90A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6C8AF8E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2A7AB6C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40C24DC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792DA2B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66C7B91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1713ADC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68FD59C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A6A9FA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477CB55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1646CB37" w14:textId="7777777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34EEBE5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AF40617"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26CBB53F" w14:textId="43D27DCD" w:rsidR="00770205" w:rsidRDefault="00770205" w:rsidP="00770205">
            <w:pPr>
              <w:pStyle w:val="TableLeftText"/>
              <w:rPr>
                <w:rFonts w:cs="Calibri"/>
                <w:color w:val="4A4D56"/>
                <w:sz w:val="18"/>
                <w:szCs w:val="18"/>
              </w:rPr>
            </w:pPr>
            <w:r>
              <w:rPr>
                <w:rFonts w:cs="Calibri"/>
                <w:color w:val="4A4D56"/>
                <w:sz w:val="18"/>
                <w:szCs w:val="18"/>
              </w:rPr>
              <w:t xml:space="preserve">Multifamily </w:t>
            </w:r>
          </w:p>
        </w:tc>
        <w:tc>
          <w:tcPr>
            <w:tcW w:w="584" w:type="pct"/>
            <w:shd w:val="clear" w:color="auto" w:fill="BFCEED" w:themeFill="accent1" w:themeFillTint="33"/>
          </w:tcPr>
          <w:p w14:paraId="6FF4F911" w14:textId="7D30F59D"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Market Rate</w:t>
            </w:r>
          </w:p>
        </w:tc>
        <w:tc>
          <w:tcPr>
            <w:tcW w:w="303" w:type="pct"/>
            <w:shd w:val="clear" w:color="auto" w:fill="B3D3FB" w:themeFill="text2" w:themeFillTint="33"/>
          </w:tcPr>
          <w:p w14:paraId="2403F07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62C153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2436A39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F2FA68F"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4215A4B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535C3E51"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4CF9AB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B6F50E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787F490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4621FB8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20BBE787"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63ADEC5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22501488"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753059D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566171A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5ACF2FF7" w14:textId="5A4B8790" w:rsidR="00770205" w:rsidRDefault="00770205" w:rsidP="00770205">
            <w:pPr>
              <w:pStyle w:val="TableLeftText"/>
              <w:rPr>
                <w:rFonts w:cs="Calibri"/>
                <w:color w:val="4A4D56"/>
                <w:sz w:val="18"/>
                <w:szCs w:val="18"/>
              </w:rPr>
            </w:pPr>
            <w:r>
              <w:rPr>
                <w:rFonts w:cs="Calibri"/>
                <w:color w:val="4A4D56"/>
                <w:sz w:val="18"/>
                <w:szCs w:val="18"/>
              </w:rPr>
              <w:t xml:space="preserve">Multifamily </w:t>
            </w:r>
          </w:p>
        </w:tc>
        <w:tc>
          <w:tcPr>
            <w:tcW w:w="584" w:type="pct"/>
            <w:shd w:val="clear" w:color="auto" w:fill="BFCEED" w:themeFill="accent1" w:themeFillTint="33"/>
          </w:tcPr>
          <w:p w14:paraId="5970010D" w14:textId="1E9C7F26"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Public Housing</w:t>
            </w:r>
          </w:p>
        </w:tc>
        <w:tc>
          <w:tcPr>
            <w:tcW w:w="303" w:type="pct"/>
            <w:shd w:val="clear" w:color="auto" w:fill="B3D3FB" w:themeFill="text2" w:themeFillTint="33"/>
          </w:tcPr>
          <w:p w14:paraId="38E54643"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EC5397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7F39EB0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6BFB891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2BC663A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74EA286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561DDC3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5296760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713A1BD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5D4BF82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467AD3C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711BE95C"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56D46DB9" w14:textId="7777777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2E82436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27C44C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DB1C841" w14:textId="74C6947E" w:rsidR="00770205" w:rsidRDefault="00770205" w:rsidP="00770205">
            <w:pPr>
              <w:pStyle w:val="TableLeftText"/>
              <w:rPr>
                <w:rFonts w:cs="Calibri"/>
                <w:color w:val="4A4D56"/>
                <w:sz w:val="18"/>
                <w:szCs w:val="18"/>
              </w:rPr>
            </w:pPr>
            <w:r>
              <w:rPr>
                <w:rFonts w:cs="Calibri"/>
                <w:color w:val="4A4D56"/>
                <w:sz w:val="18"/>
                <w:szCs w:val="18"/>
              </w:rPr>
              <w:t xml:space="preserve">Market Rate Single Family </w:t>
            </w:r>
          </w:p>
        </w:tc>
        <w:tc>
          <w:tcPr>
            <w:tcW w:w="584" w:type="pct"/>
            <w:shd w:val="clear" w:color="auto" w:fill="BFCEED" w:themeFill="accent1" w:themeFillTint="33"/>
          </w:tcPr>
          <w:p w14:paraId="685C4C0A" w14:textId="013B8EC1"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Midstream HVAC</w:t>
            </w:r>
          </w:p>
        </w:tc>
        <w:tc>
          <w:tcPr>
            <w:tcW w:w="303" w:type="pct"/>
            <w:shd w:val="clear" w:color="auto" w:fill="B3D3FB" w:themeFill="text2" w:themeFillTint="33"/>
          </w:tcPr>
          <w:p w14:paraId="37DE011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5ADC809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583DBAE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3391E6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14FCBA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7D45948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715FA90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DE35A6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1610604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0D49B66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5FE7022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3C4B6F1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34F25B31"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50A12E5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5E01B6AF"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49D28F9" w14:textId="057815EF" w:rsidR="00770205" w:rsidRDefault="00770205" w:rsidP="00770205">
            <w:pPr>
              <w:pStyle w:val="TableLeftText"/>
              <w:rPr>
                <w:sz w:val="18"/>
                <w:szCs w:val="18"/>
              </w:rPr>
            </w:pPr>
            <w:r>
              <w:rPr>
                <w:rFonts w:cs="Calibri"/>
                <w:color w:val="4A4D56"/>
                <w:sz w:val="18"/>
                <w:szCs w:val="18"/>
              </w:rPr>
              <w:t xml:space="preserve">Market Rate Single Family </w:t>
            </w:r>
          </w:p>
        </w:tc>
        <w:tc>
          <w:tcPr>
            <w:tcW w:w="584" w:type="pct"/>
            <w:shd w:val="clear" w:color="auto" w:fill="BFCEED" w:themeFill="accent1" w:themeFillTint="33"/>
          </w:tcPr>
          <w:p w14:paraId="1C39862A" w14:textId="4C4DB5D4"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Midstream HVAC Market Effects</w:t>
            </w:r>
          </w:p>
        </w:tc>
        <w:tc>
          <w:tcPr>
            <w:tcW w:w="303" w:type="pct"/>
            <w:shd w:val="clear" w:color="auto" w:fill="B3D3FB" w:themeFill="text2" w:themeFillTint="33"/>
          </w:tcPr>
          <w:p w14:paraId="65DCCB74" w14:textId="26F4417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27604F1" w14:textId="0F1154F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64A88FA7" w14:textId="51A0560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319BEE68" w14:textId="3E90BC9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4615E578" w14:textId="1FFCC14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11116B1" w14:textId="778E0FB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17A065E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7F734F4C"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05B60FC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3487C77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7FC0455" w14:textId="5D9D533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7A3F247D" w14:textId="4D3AA373"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6367DA07" w14:textId="36F4179D"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222419E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2855278D"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2CA51A3" w14:textId="6A47BF93" w:rsidR="00770205" w:rsidRDefault="00770205" w:rsidP="00770205">
            <w:pPr>
              <w:pStyle w:val="TableLeftText"/>
              <w:rPr>
                <w:sz w:val="18"/>
                <w:szCs w:val="18"/>
              </w:rPr>
            </w:pPr>
            <w:r>
              <w:rPr>
                <w:rFonts w:cs="Calibri"/>
                <w:color w:val="4A4D56"/>
                <w:sz w:val="18"/>
                <w:szCs w:val="18"/>
              </w:rPr>
              <w:t xml:space="preserve">Market Rate Single Family </w:t>
            </w:r>
          </w:p>
        </w:tc>
        <w:tc>
          <w:tcPr>
            <w:tcW w:w="584" w:type="pct"/>
            <w:shd w:val="clear" w:color="auto" w:fill="BFCEED" w:themeFill="accent1" w:themeFillTint="33"/>
          </w:tcPr>
          <w:p w14:paraId="26AA8992" w14:textId="157ECB23"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Home Efficiency</w:t>
            </w:r>
          </w:p>
        </w:tc>
        <w:tc>
          <w:tcPr>
            <w:tcW w:w="303" w:type="pct"/>
            <w:shd w:val="clear" w:color="auto" w:fill="B3D3FB" w:themeFill="text2" w:themeFillTint="33"/>
          </w:tcPr>
          <w:p w14:paraId="776C7816" w14:textId="7AC3CBE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1747D0DE" w14:textId="2DCBB3F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39248547" w14:textId="1109534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4919CA36" w14:textId="3186878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7D6F5626" w14:textId="1D8279C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3348FC85" w14:textId="4667F72E"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20C58F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EBD4BE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F16A14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62362D6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5379D2D7" w14:textId="075797D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039A61F1" w14:textId="73E084E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54AC1A3D" w14:textId="038080F9"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69777F2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5A96B603"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5DB0AC9" w14:textId="0F894D17" w:rsidR="00770205" w:rsidRPr="000564FC"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1F39B490" w14:textId="5CB53A71"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Full School Kits</w:t>
            </w:r>
          </w:p>
        </w:tc>
        <w:tc>
          <w:tcPr>
            <w:tcW w:w="303" w:type="pct"/>
            <w:shd w:val="clear" w:color="auto" w:fill="B3D3FB" w:themeFill="text2" w:themeFillTint="33"/>
          </w:tcPr>
          <w:p w14:paraId="03D0AF3D" w14:textId="66D7847A"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77DF701A" w14:textId="3C8C20EA"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51DC9772" w14:textId="5BCC029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16AACFF3" w14:textId="437ADF0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31F86775" w14:textId="45AE1C2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21A5C69A" w14:textId="200A4963"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6FC0C64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518384C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3D8ACC2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10C6843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2ACA93C9" w14:textId="45D88F9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38945824" w14:textId="03D2B78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2E0639EA" w14:textId="4472D142"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3FE8A1D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3E2ABBF0"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2D16E4D" w14:textId="3E489D6E"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17815851" w14:textId="7443FCD1"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Joint Utility School Kits</w:t>
            </w:r>
          </w:p>
        </w:tc>
        <w:tc>
          <w:tcPr>
            <w:tcW w:w="303" w:type="pct"/>
            <w:shd w:val="clear" w:color="auto" w:fill="B3D3FB" w:themeFill="text2" w:themeFillTint="33"/>
          </w:tcPr>
          <w:p w14:paraId="5825D4D2" w14:textId="2B4C572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3E625B60" w14:textId="74F9B97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5E58389B" w14:textId="120F6DF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79807E21" w14:textId="76CF843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173A070" w14:textId="4B6B84B9"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5BDECA9E" w14:textId="3B62769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0D0FF8C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38C6A01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6F7562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49B04BC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B5769E2" w14:textId="4160D89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3385C81D" w14:textId="6E189D8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2E5ABF2D" w14:textId="7502237E"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6A64F57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43B5B943"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878C5E0" w14:textId="09FBA0BD"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1C4BD421" w14:textId="0DD28444"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High School Innovation</w:t>
            </w:r>
          </w:p>
        </w:tc>
        <w:tc>
          <w:tcPr>
            <w:tcW w:w="303" w:type="pct"/>
            <w:shd w:val="clear" w:color="auto" w:fill="B3D3FB" w:themeFill="text2" w:themeFillTint="33"/>
          </w:tcPr>
          <w:p w14:paraId="2415C0D8" w14:textId="105F131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7193E38D" w14:textId="03E8ADC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518D8432" w14:textId="7C9F3CB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3D154243" w14:textId="6A52915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739BE4D8" w14:textId="1724656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3EA730E0" w14:textId="77E7EAB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2F0AC55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4B41446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21EA7DFC"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3BF0007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014EBFDC" w14:textId="3485465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4522FA3E" w14:textId="59A89C6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69E6F384" w14:textId="2AB76BA0"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5C18EFD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58FB45A"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2D9114FC" w14:textId="1BA39B3F"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31DED2A0" w14:textId="5DE5C282"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Income Qualified Community Kits</w:t>
            </w:r>
          </w:p>
        </w:tc>
        <w:tc>
          <w:tcPr>
            <w:tcW w:w="303" w:type="pct"/>
            <w:shd w:val="clear" w:color="auto" w:fill="B3D3FB" w:themeFill="text2" w:themeFillTint="33"/>
          </w:tcPr>
          <w:p w14:paraId="4C431E1D" w14:textId="5D9FB21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5E71E25" w14:textId="644246B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4E7C4297" w14:textId="59EFEC1F"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101369D5" w14:textId="62A11D5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3CFD516" w14:textId="5AB165F4"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672E9C7C" w14:textId="69E03DD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023625A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250358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0A21D05E"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4E434E3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71D3475" w14:textId="7F5E90A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06722C1F" w14:textId="15DAA0FC"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65135CE7" w14:textId="2A6C3FDC"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32DFFA3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163CE96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506B166" w14:textId="5A508DBE"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6CD03B37" w14:textId="321013CD"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Mobile Home Kits</w:t>
            </w:r>
          </w:p>
        </w:tc>
        <w:tc>
          <w:tcPr>
            <w:tcW w:w="303" w:type="pct"/>
            <w:shd w:val="clear" w:color="auto" w:fill="B3D3FB" w:themeFill="text2" w:themeFillTint="33"/>
          </w:tcPr>
          <w:p w14:paraId="0B7CB0C8" w14:textId="5AD340A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996AF9D" w14:textId="3D0DF09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34DBF466" w14:textId="5677629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753BC923" w14:textId="09A6938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11A04CFD" w14:textId="3868057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4DB63065" w14:textId="6DAA46B8"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616B6C2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71210FB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1C651A34"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6DAB093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58E6CE2" w14:textId="03D06B1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53F40087" w14:textId="7747428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52C5207F" w14:textId="527F435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6F7C7FB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7219818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9D1C372" w14:textId="47F7697F"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3F43AF66" w14:textId="33FE9EF5"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BN Kits</w:t>
            </w:r>
          </w:p>
        </w:tc>
        <w:tc>
          <w:tcPr>
            <w:tcW w:w="303" w:type="pct"/>
            <w:shd w:val="clear" w:color="auto" w:fill="B3D3FB" w:themeFill="text2" w:themeFillTint="33"/>
          </w:tcPr>
          <w:p w14:paraId="22ACC4BB" w14:textId="743AA931"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59040A41" w14:textId="7263A841"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0B0A5508" w14:textId="2396FC8E"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266CB939" w14:textId="428FD97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340A84B8" w14:textId="4AF8B6F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1292457D" w14:textId="2D0F9CA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0807A3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2BDC82F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45991D6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1E0A43A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AD11BFB" w14:textId="4791525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132B3145" w14:textId="38A5B15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7B0DE9AC" w14:textId="7564D754"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5FCA61DF"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345CC31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578BDA62" w14:textId="03E2B364"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2B45CBA0" w14:textId="07EC936D"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Food Bank Holiday Kits</w:t>
            </w:r>
          </w:p>
        </w:tc>
        <w:tc>
          <w:tcPr>
            <w:tcW w:w="303" w:type="pct"/>
            <w:shd w:val="clear" w:color="auto" w:fill="B3D3FB" w:themeFill="text2" w:themeFillTint="33"/>
          </w:tcPr>
          <w:p w14:paraId="2FA193CA" w14:textId="220A194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4AF7DFA" w14:textId="7AA4DEF3"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3B80D89B" w14:textId="296AA0B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590284A7" w14:textId="3DEF891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50A7EC69" w14:textId="276DE4C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52547A4" w14:textId="7218407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123A541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62B7E2D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4385798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7294888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4745DA36" w14:textId="5F8AFCFC"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5DD1348A" w14:textId="1AE508B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3DD973B1" w14:textId="0979A614"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5A3813C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097D8A4"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5B62459" w14:textId="529FD5EB" w:rsidR="00770205" w:rsidRDefault="00770205" w:rsidP="00770205">
            <w:pPr>
              <w:pStyle w:val="TableLeftText"/>
              <w:rPr>
                <w:sz w:val="18"/>
                <w:szCs w:val="18"/>
              </w:rPr>
            </w:pPr>
            <w:r>
              <w:rPr>
                <w:rFonts w:cs="Calibri"/>
                <w:color w:val="4A4D56"/>
                <w:sz w:val="18"/>
                <w:szCs w:val="18"/>
              </w:rPr>
              <w:t xml:space="preserve">Kits </w:t>
            </w:r>
          </w:p>
        </w:tc>
        <w:tc>
          <w:tcPr>
            <w:tcW w:w="584" w:type="pct"/>
            <w:shd w:val="clear" w:color="auto" w:fill="BFCEED" w:themeFill="accent1" w:themeFillTint="33"/>
          </w:tcPr>
          <w:p w14:paraId="179D4AFE" w14:textId="69828B45"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Carryover</w:t>
            </w:r>
          </w:p>
        </w:tc>
        <w:tc>
          <w:tcPr>
            <w:tcW w:w="303" w:type="pct"/>
            <w:shd w:val="clear" w:color="auto" w:fill="B3D3FB" w:themeFill="text2" w:themeFillTint="33"/>
          </w:tcPr>
          <w:p w14:paraId="0852B1E4" w14:textId="14F85CA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677F3378" w14:textId="274B75F1"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15E672EA" w14:textId="0BC5333E"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44D33933" w14:textId="072E06BD"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76462A39" w14:textId="26AAF2B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7CCEBE98" w14:textId="53956E0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2272D10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29C973C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06B4D4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rFonts w:cs="Calibri"/>
                <w:sz w:val="18"/>
                <w:szCs w:val="18"/>
              </w:rPr>
            </w:pPr>
          </w:p>
        </w:tc>
        <w:tc>
          <w:tcPr>
            <w:tcW w:w="389" w:type="pct"/>
            <w:shd w:val="clear" w:color="auto" w:fill="E5E5F2" w:themeFill="accent4" w:themeFillTint="33"/>
          </w:tcPr>
          <w:p w14:paraId="1F81125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35A929C9" w14:textId="38814DE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35B4D4DE" w14:textId="16D9B1A9"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7557221C" w14:textId="78776139"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2AC487B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067DBC" w:rsidRPr="006629DB" w14:paraId="182946DA"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02" w:type="pct"/>
            <w:gridSpan w:val="2"/>
            <w:shd w:val="clear" w:color="auto" w:fill="BFCEED" w:themeFill="accent1" w:themeFillTint="33"/>
          </w:tcPr>
          <w:p w14:paraId="6C5EDEE5" w14:textId="77777777" w:rsidR="00067DBC" w:rsidRDefault="00067DBC" w:rsidP="002C7F49">
            <w:pPr>
              <w:pStyle w:val="TableLeftText"/>
              <w:rPr>
                <w:sz w:val="18"/>
                <w:szCs w:val="18"/>
              </w:rPr>
            </w:pPr>
            <w:r>
              <w:rPr>
                <w:sz w:val="18"/>
                <w:szCs w:val="18"/>
              </w:rPr>
              <w:t>Residential NPSO Adder</w:t>
            </w:r>
          </w:p>
        </w:tc>
        <w:tc>
          <w:tcPr>
            <w:tcW w:w="303" w:type="pct"/>
            <w:shd w:val="clear" w:color="auto" w:fill="B3D3FB" w:themeFill="text2" w:themeFillTint="33"/>
          </w:tcPr>
          <w:p w14:paraId="0E99F6CC" w14:textId="4F1203CC"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39DB079" w14:textId="42D3B6A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1387ECEC" w14:textId="7C43745B"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6098E0D7" w14:textId="71DE67DD"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63F68067" w14:textId="53F82633"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02A8E9A1" w14:textId="41A78DCF"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251782C8"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1200FC77"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4AE2287D"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389" w:type="pct"/>
            <w:shd w:val="clear" w:color="auto" w:fill="E5E5F2" w:themeFill="accent4" w:themeFillTint="33"/>
          </w:tcPr>
          <w:p w14:paraId="61381348"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3F48A31F" w14:textId="0335CA89"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60A6C0AA" w14:textId="22A3DBD9"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783A22E1" w14:textId="1707D5DA" w:rsidR="00067DBC" w:rsidRPr="000564FC" w:rsidRDefault="00067DBC" w:rsidP="002C7F49">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69590BDF"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6629DB" w14:paraId="282EEFD5"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tcBorders>
              <w:right w:val="nil"/>
            </w:tcBorders>
            <w:shd w:val="clear" w:color="auto" w:fill="4A4D56" w:themeFill="text1"/>
          </w:tcPr>
          <w:p w14:paraId="028FCEB3" w14:textId="77777777" w:rsidR="00067DBC" w:rsidRPr="000564FC" w:rsidRDefault="00067DBC" w:rsidP="00F8548D">
            <w:pPr>
              <w:pStyle w:val="TableLeftText"/>
              <w:keepNext/>
              <w:keepLines/>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Business Program</w:t>
            </w:r>
          </w:p>
        </w:tc>
        <w:tc>
          <w:tcPr>
            <w:tcW w:w="584" w:type="pct"/>
            <w:tcBorders>
              <w:left w:val="nil"/>
              <w:right w:val="nil"/>
            </w:tcBorders>
            <w:shd w:val="clear" w:color="auto" w:fill="4A4D56" w:themeFill="text1"/>
          </w:tcPr>
          <w:p w14:paraId="61F950AA" w14:textId="77777777" w:rsidR="00067DBC" w:rsidRPr="000564FC" w:rsidRDefault="00067DBC" w:rsidP="00F8548D">
            <w:pPr>
              <w:pStyle w:val="TableLeft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tcBorders>
              <w:left w:val="nil"/>
              <w:right w:val="nil"/>
            </w:tcBorders>
            <w:shd w:val="clear" w:color="auto" w:fill="4A4D56" w:themeFill="text1"/>
          </w:tcPr>
          <w:p w14:paraId="349866F9"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tcBorders>
              <w:left w:val="nil"/>
              <w:right w:val="nil"/>
            </w:tcBorders>
            <w:shd w:val="clear" w:color="auto" w:fill="4A4D56" w:themeFill="text1"/>
          </w:tcPr>
          <w:p w14:paraId="55B32770"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tcBorders>
              <w:left w:val="nil"/>
              <w:right w:val="nil"/>
            </w:tcBorders>
            <w:shd w:val="clear" w:color="auto" w:fill="4A4D56" w:themeFill="text1"/>
          </w:tcPr>
          <w:p w14:paraId="54FCCA61"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tcBorders>
              <w:left w:val="nil"/>
              <w:right w:val="nil"/>
            </w:tcBorders>
            <w:shd w:val="clear" w:color="auto" w:fill="4A4D56" w:themeFill="text1"/>
          </w:tcPr>
          <w:p w14:paraId="00ECCB27"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tcBorders>
              <w:left w:val="nil"/>
              <w:right w:val="nil"/>
            </w:tcBorders>
            <w:shd w:val="clear" w:color="auto" w:fill="4A4D56" w:themeFill="text1"/>
          </w:tcPr>
          <w:p w14:paraId="173A3777"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tcBorders>
              <w:left w:val="nil"/>
              <w:right w:val="nil"/>
            </w:tcBorders>
            <w:shd w:val="clear" w:color="auto" w:fill="4A4D56" w:themeFill="text1"/>
          </w:tcPr>
          <w:p w14:paraId="2F6E8EB9"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tcBorders>
              <w:left w:val="nil"/>
              <w:right w:val="nil"/>
            </w:tcBorders>
            <w:shd w:val="clear" w:color="auto" w:fill="4A4D56" w:themeFill="text1"/>
          </w:tcPr>
          <w:p w14:paraId="3F6620EB"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tcBorders>
              <w:left w:val="nil"/>
              <w:right w:val="nil"/>
            </w:tcBorders>
            <w:shd w:val="clear" w:color="auto" w:fill="4A4D56" w:themeFill="text1"/>
          </w:tcPr>
          <w:p w14:paraId="4C09A110"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tcBorders>
              <w:left w:val="nil"/>
              <w:right w:val="nil"/>
            </w:tcBorders>
            <w:shd w:val="clear" w:color="auto" w:fill="4A4D56" w:themeFill="text1"/>
          </w:tcPr>
          <w:p w14:paraId="2874C220"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tcBorders>
              <w:left w:val="nil"/>
              <w:right w:val="nil"/>
            </w:tcBorders>
            <w:shd w:val="clear" w:color="auto" w:fill="4A4D56" w:themeFill="text1"/>
          </w:tcPr>
          <w:p w14:paraId="2247FAE7"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tcBorders>
              <w:left w:val="nil"/>
              <w:right w:val="nil"/>
            </w:tcBorders>
            <w:shd w:val="clear" w:color="auto" w:fill="4A4D56" w:themeFill="text1"/>
          </w:tcPr>
          <w:p w14:paraId="3E712904"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tcBorders>
              <w:left w:val="nil"/>
              <w:right w:val="nil"/>
            </w:tcBorders>
            <w:shd w:val="clear" w:color="auto" w:fill="4A4D56" w:themeFill="text1"/>
          </w:tcPr>
          <w:p w14:paraId="163F41AB"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tcBorders>
              <w:left w:val="nil"/>
              <w:right w:val="nil"/>
            </w:tcBorders>
            <w:shd w:val="clear" w:color="auto" w:fill="4A4D56" w:themeFill="text1"/>
          </w:tcPr>
          <w:p w14:paraId="13C6EDFA"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tcBorders>
              <w:left w:val="nil"/>
            </w:tcBorders>
            <w:shd w:val="clear" w:color="auto" w:fill="4A4D56" w:themeFill="text1"/>
          </w:tcPr>
          <w:p w14:paraId="51A453C8" w14:textId="77777777" w:rsidR="00067DBC" w:rsidRPr="000564FC" w:rsidRDefault="00067DBC" w:rsidP="00F8548D">
            <w:pPr>
              <w:pStyle w:val="TableCenterText"/>
              <w:keepNext/>
              <w:keepLines/>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7891682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2BB37F7E" w14:textId="12DA56B5" w:rsidR="00770205" w:rsidRPr="000564FC" w:rsidRDefault="00770205" w:rsidP="00F8548D">
            <w:pPr>
              <w:pStyle w:val="TableLeftText"/>
              <w:keepNext/>
              <w:keepLines/>
              <w:rPr>
                <w:sz w:val="18"/>
                <w:szCs w:val="18"/>
              </w:rPr>
            </w:pPr>
            <w:r>
              <w:rPr>
                <w:rFonts w:cs="Calibri"/>
                <w:color w:val="4A4D56"/>
                <w:sz w:val="18"/>
                <w:szCs w:val="18"/>
              </w:rPr>
              <w:t>Standard</w:t>
            </w:r>
          </w:p>
        </w:tc>
        <w:tc>
          <w:tcPr>
            <w:tcW w:w="584" w:type="pct"/>
            <w:shd w:val="clear" w:color="auto" w:fill="BFCEED" w:themeFill="accent1" w:themeFillTint="33"/>
          </w:tcPr>
          <w:p w14:paraId="202ED8B2" w14:textId="0BD909F4" w:rsidR="00770205" w:rsidRPr="000564FC" w:rsidRDefault="00770205" w:rsidP="00F8548D">
            <w:pPr>
              <w:pStyle w:val="TableLeftText"/>
              <w:keepNext/>
              <w:keepLines/>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Core</w:t>
            </w:r>
          </w:p>
        </w:tc>
        <w:tc>
          <w:tcPr>
            <w:tcW w:w="303" w:type="pct"/>
            <w:shd w:val="clear" w:color="auto" w:fill="B3D3FB" w:themeFill="text2" w:themeFillTint="33"/>
          </w:tcPr>
          <w:p w14:paraId="403BE8ED" w14:textId="1C4FECD4"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556391C8" w14:textId="276301FC"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67DC7CA5" w14:textId="12D59933"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10A6C1BA" w14:textId="0F06CC3A"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6862B2BE" w14:textId="3C57CAAB"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2D700960" w14:textId="723D7FAB"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3E24865C"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1A435323"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23D925C8"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5C8B28BF"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61A6FEFA" w14:textId="7A177DAE"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5E90A39F" w14:textId="0A4E54CA"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6DE1ECB1" w14:textId="012883A0" w:rsidR="00770205" w:rsidRPr="000564FC" w:rsidRDefault="00770205" w:rsidP="00F8548D">
            <w:pPr>
              <w:pStyle w:val="TableCenterText"/>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0F422BA7"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79E8A34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D54983F" w14:textId="0B7B1CD1" w:rsidR="00770205" w:rsidRPr="000564FC" w:rsidRDefault="00770205" w:rsidP="00F8548D">
            <w:pPr>
              <w:pStyle w:val="TableLeftText"/>
              <w:keepNext/>
              <w:keepLines/>
              <w:rPr>
                <w:sz w:val="18"/>
                <w:szCs w:val="18"/>
              </w:rPr>
            </w:pPr>
            <w:r>
              <w:rPr>
                <w:rFonts w:cs="Calibri"/>
                <w:color w:val="4A4D56"/>
                <w:sz w:val="18"/>
                <w:szCs w:val="18"/>
              </w:rPr>
              <w:t>Standard</w:t>
            </w:r>
          </w:p>
        </w:tc>
        <w:tc>
          <w:tcPr>
            <w:tcW w:w="584" w:type="pct"/>
            <w:shd w:val="clear" w:color="auto" w:fill="BFCEED" w:themeFill="accent1" w:themeFillTint="33"/>
          </w:tcPr>
          <w:p w14:paraId="31619635" w14:textId="4E32CDD5" w:rsidR="00770205" w:rsidRPr="000564FC" w:rsidRDefault="00770205" w:rsidP="00F8548D">
            <w:pPr>
              <w:pStyle w:val="TableLeftText"/>
              <w:keepNext/>
              <w:keepLines/>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Online Store</w:t>
            </w:r>
          </w:p>
        </w:tc>
        <w:tc>
          <w:tcPr>
            <w:tcW w:w="303" w:type="pct"/>
            <w:shd w:val="clear" w:color="auto" w:fill="B3D3FB" w:themeFill="text2" w:themeFillTint="33"/>
          </w:tcPr>
          <w:p w14:paraId="07CC49B2" w14:textId="114B8022"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4333EE5B" w14:textId="0911F75E"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3A4BF7D8" w14:textId="552F0CFC"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0F6FEAB2" w14:textId="5ED60FF5"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38B5E3E" w14:textId="7144289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24AB577A" w14:textId="018548BD"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5C47ACD3"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44BDFBC2"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47702AE7"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352AA933"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40A9D5BB" w14:textId="0DFEC2D6"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4E79365B" w14:textId="638F5D64"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1B272F95" w14:textId="413D310B" w:rsidR="00770205" w:rsidRPr="000564FC" w:rsidRDefault="00770205" w:rsidP="00F8548D">
            <w:pPr>
              <w:pStyle w:val="TableCenterText"/>
              <w:keepNext/>
              <w:keepLines/>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49591788"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26CF5BA9"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CCCEA0E" w14:textId="78854B04" w:rsidR="00770205" w:rsidRPr="000564FC" w:rsidRDefault="00770205" w:rsidP="00F8548D">
            <w:pPr>
              <w:pStyle w:val="TableLeftText"/>
              <w:keepNext/>
              <w:keepLines/>
              <w:rPr>
                <w:sz w:val="18"/>
                <w:szCs w:val="18"/>
              </w:rPr>
            </w:pPr>
            <w:r>
              <w:rPr>
                <w:rFonts w:cs="Calibri"/>
                <w:color w:val="4A4D56"/>
                <w:sz w:val="18"/>
                <w:szCs w:val="18"/>
              </w:rPr>
              <w:t>Standard</w:t>
            </w:r>
          </w:p>
        </w:tc>
        <w:tc>
          <w:tcPr>
            <w:tcW w:w="584" w:type="pct"/>
            <w:shd w:val="clear" w:color="auto" w:fill="BFCEED" w:themeFill="accent1" w:themeFillTint="33"/>
          </w:tcPr>
          <w:p w14:paraId="0C3C0051" w14:textId="6EA8DB3F" w:rsidR="00770205" w:rsidRPr="000564FC" w:rsidRDefault="00770205" w:rsidP="00F8548D">
            <w:pPr>
              <w:pStyle w:val="TableLeftText"/>
              <w:keepNext/>
              <w:keepLines/>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BOC</w:t>
            </w:r>
          </w:p>
        </w:tc>
        <w:tc>
          <w:tcPr>
            <w:tcW w:w="303" w:type="pct"/>
            <w:shd w:val="clear" w:color="auto" w:fill="B3D3FB" w:themeFill="text2" w:themeFillTint="33"/>
          </w:tcPr>
          <w:p w14:paraId="74E4E62F" w14:textId="60B1CAC1"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0C5F9336" w14:textId="28D724F6"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499F3517" w14:textId="6B68A6E2"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7BC48F37" w14:textId="4637F2C1"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3EB72558" w14:textId="22738EBF"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13207E42" w14:textId="77A57B2E"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609862EC"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5117D35F"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1A14C2F9"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29888DAB"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76AFB056" w14:textId="3641068F"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4D0CBD91" w14:textId="65E8FD0F"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7CD133EC" w14:textId="187F478F" w:rsidR="00770205" w:rsidRPr="000564FC" w:rsidRDefault="00770205" w:rsidP="00F8548D">
            <w:pPr>
              <w:pStyle w:val="TableCenterText"/>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00C1D32F"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06E0A0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BFC34F7" w14:textId="3529C798" w:rsidR="00770205" w:rsidRPr="000564FC" w:rsidRDefault="00770205" w:rsidP="00F8548D">
            <w:pPr>
              <w:pStyle w:val="TableLeftText"/>
              <w:keepNext/>
              <w:keepLines/>
              <w:rPr>
                <w:sz w:val="18"/>
                <w:szCs w:val="18"/>
              </w:rPr>
            </w:pPr>
            <w:r>
              <w:rPr>
                <w:rFonts w:cs="Calibri"/>
                <w:color w:val="4A4D56"/>
                <w:sz w:val="18"/>
                <w:szCs w:val="18"/>
              </w:rPr>
              <w:t>Custom</w:t>
            </w:r>
          </w:p>
        </w:tc>
        <w:tc>
          <w:tcPr>
            <w:tcW w:w="584" w:type="pct"/>
            <w:shd w:val="clear" w:color="auto" w:fill="BFCEED" w:themeFill="accent1" w:themeFillTint="33"/>
          </w:tcPr>
          <w:p w14:paraId="1588D385" w14:textId="4CEA0C4A" w:rsidR="00770205" w:rsidRPr="000564FC" w:rsidRDefault="00770205" w:rsidP="00F8548D">
            <w:pPr>
              <w:pStyle w:val="TableLeftText"/>
              <w:keepNext/>
              <w:keepLines/>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Custom Incentives</w:t>
            </w:r>
          </w:p>
        </w:tc>
        <w:tc>
          <w:tcPr>
            <w:tcW w:w="303" w:type="pct"/>
            <w:shd w:val="clear" w:color="auto" w:fill="B3D3FB" w:themeFill="text2" w:themeFillTint="33"/>
          </w:tcPr>
          <w:p w14:paraId="3D2740DA" w14:textId="0E7BFA86"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25EFB321" w14:textId="3F8FE61F"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77B7BAD9" w14:textId="7B5D2636"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E880A12" w14:textId="7E576F7E"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23F73C77" w14:textId="53D06FA2"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5ED77898" w14:textId="6B987BC0"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0B3A577B"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583AD19D"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63885C42"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01484338"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4C477CC1" w14:textId="054CBA6C"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6D89E7E8" w14:textId="1457BF25"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5E9294E2" w14:textId="1FBC42B4" w:rsidR="00770205" w:rsidRPr="000564FC" w:rsidRDefault="00770205" w:rsidP="00F8548D">
            <w:pPr>
              <w:pStyle w:val="TableCenterText"/>
              <w:keepNext/>
              <w:keepLines/>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386687A1"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1103D06B"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2884510B" w14:textId="22650F07" w:rsidR="00770205" w:rsidRPr="000564FC" w:rsidRDefault="00770205" w:rsidP="00F8548D">
            <w:pPr>
              <w:pStyle w:val="TableLeftText"/>
              <w:keepNext/>
              <w:keepLines/>
              <w:rPr>
                <w:sz w:val="18"/>
                <w:szCs w:val="18"/>
              </w:rPr>
            </w:pPr>
            <w:r>
              <w:rPr>
                <w:rFonts w:cs="Calibri"/>
                <w:color w:val="4A4D56"/>
                <w:sz w:val="18"/>
                <w:szCs w:val="18"/>
              </w:rPr>
              <w:t>Custom</w:t>
            </w:r>
          </w:p>
        </w:tc>
        <w:tc>
          <w:tcPr>
            <w:tcW w:w="584" w:type="pct"/>
            <w:shd w:val="clear" w:color="auto" w:fill="BFCEED" w:themeFill="accent1" w:themeFillTint="33"/>
          </w:tcPr>
          <w:p w14:paraId="7725CEF0" w14:textId="4C508670" w:rsidR="00770205" w:rsidRPr="000564FC" w:rsidRDefault="00770205" w:rsidP="00F8548D">
            <w:pPr>
              <w:pStyle w:val="TableLeftText"/>
              <w:keepNext/>
              <w:keepLines/>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New Construction Lighting</w:t>
            </w:r>
          </w:p>
        </w:tc>
        <w:tc>
          <w:tcPr>
            <w:tcW w:w="303" w:type="pct"/>
            <w:shd w:val="clear" w:color="auto" w:fill="B3D3FB" w:themeFill="text2" w:themeFillTint="33"/>
          </w:tcPr>
          <w:p w14:paraId="0080B305" w14:textId="59281478"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64607499" w14:textId="4F2853EA"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6365EABF" w14:textId="51F8C19C"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57EB8C88" w14:textId="2AFD497B"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027B33DF" w14:textId="3E6E5D4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4B81AC28" w14:textId="114FD36B"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48B65293"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158AAC4B"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04007964"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213D9106"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51F166A6" w14:textId="5B561AD2"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34FBD57B" w14:textId="3F16736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3C39AE18" w14:textId="45469031" w:rsidR="00770205" w:rsidRPr="000564FC" w:rsidRDefault="00770205" w:rsidP="00F8548D">
            <w:pPr>
              <w:pStyle w:val="TableCenterText"/>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0BD8A377" w14:textId="77777777" w:rsidR="00770205" w:rsidRPr="000564FC" w:rsidRDefault="00770205" w:rsidP="00F8548D">
            <w:pPr>
              <w:pStyle w:val="TableCenterText"/>
              <w:keepNext/>
              <w:keepLines/>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3572061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5A5F5796" w14:textId="357C612B" w:rsidR="00770205" w:rsidRPr="000564FC" w:rsidRDefault="00770205" w:rsidP="00F8548D">
            <w:pPr>
              <w:pStyle w:val="TableLeftText"/>
              <w:keepNext/>
              <w:keepLines/>
              <w:rPr>
                <w:sz w:val="18"/>
                <w:szCs w:val="18"/>
              </w:rPr>
            </w:pPr>
            <w:r>
              <w:rPr>
                <w:rFonts w:cs="Calibri"/>
                <w:color w:val="4A4D56"/>
                <w:sz w:val="18"/>
                <w:szCs w:val="18"/>
              </w:rPr>
              <w:t>Retro-Commissioning</w:t>
            </w:r>
          </w:p>
        </w:tc>
        <w:tc>
          <w:tcPr>
            <w:tcW w:w="584" w:type="pct"/>
            <w:shd w:val="clear" w:color="auto" w:fill="BFCEED" w:themeFill="accent1" w:themeFillTint="33"/>
          </w:tcPr>
          <w:p w14:paraId="16AFF09C" w14:textId="0026016E" w:rsidR="00770205" w:rsidRPr="000564FC" w:rsidRDefault="00770205" w:rsidP="00F8548D">
            <w:pPr>
              <w:pStyle w:val="TableLeftText"/>
              <w:keepNext/>
              <w:keepLines/>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Core</w:t>
            </w:r>
          </w:p>
        </w:tc>
        <w:tc>
          <w:tcPr>
            <w:tcW w:w="303" w:type="pct"/>
            <w:shd w:val="clear" w:color="auto" w:fill="B3D3FB" w:themeFill="text2" w:themeFillTint="33"/>
          </w:tcPr>
          <w:p w14:paraId="76AE3F59" w14:textId="51FD724F"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15C13FC2" w14:textId="0DBACAA9"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31B7A3DC" w14:textId="78631F75"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6D15F31B" w14:textId="74D05BEA"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7E1C37E2" w14:textId="7508FC9F"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1B98DAA8" w14:textId="70D6A1C5"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520914C1"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416E1305"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36DC77AA"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42E78E39"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4847F5E6" w14:textId="373113F0"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0BB1668E" w14:textId="0CFF3F6E"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2FB7FB93" w14:textId="71A61EFA" w:rsidR="00770205" w:rsidRPr="000564FC" w:rsidRDefault="00770205" w:rsidP="00F8548D">
            <w:pPr>
              <w:pStyle w:val="TableCenterText"/>
              <w:keepNext/>
              <w:keepLines/>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403B13C3" w14:textId="77777777" w:rsidR="00770205" w:rsidRPr="000564FC" w:rsidRDefault="00770205" w:rsidP="00F8548D">
            <w:pPr>
              <w:pStyle w:val="TableCenterText"/>
              <w:keepNext/>
              <w:keepLines/>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0D622A22"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2618469" w14:textId="35BE30EE" w:rsidR="00770205" w:rsidRPr="000564FC" w:rsidRDefault="00770205" w:rsidP="00770205">
            <w:pPr>
              <w:pStyle w:val="TableLeftText"/>
              <w:rPr>
                <w:sz w:val="18"/>
                <w:szCs w:val="18"/>
              </w:rPr>
            </w:pPr>
            <w:r>
              <w:rPr>
                <w:rFonts w:cs="Calibri"/>
                <w:color w:val="4A4D56"/>
                <w:sz w:val="18"/>
                <w:szCs w:val="18"/>
              </w:rPr>
              <w:t>Retro-Commissioning</w:t>
            </w:r>
          </w:p>
        </w:tc>
        <w:tc>
          <w:tcPr>
            <w:tcW w:w="584" w:type="pct"/>
            <w:shd w:val="clear" w:color="auto" w:fill="BFCEED" w:themeFill="accent1" w:themeFillTint="33"/>
          </w:tcPr>
          <w:p w14:paraId="2221B658" w14:textId="1A39897A"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Virtual Commissioning</w:t>
            </w:r>
          </w:p>
        </w:tc>
        <w:tc>
          <w:tcPr>
            <w:tcW w:w="303" w:type="pct"/>
            <w:shd w:val="clear" w:color="auto" w:fill="B3D3FB" w:themeFill="text2" w:themeFillTint="33"/>
          </w:tcPr>
          <w:p w14:paraId="025D0DBD" w14:textId="75C4D1B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6E4AEE0" w14:textId="3608417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4E15AF74" w14:textId="53D1E342"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30F8CB16" w14:textId="154A05EC"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5393CB94" w14:textId="6A5335F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67F5DCA2" w14:textId="3BF2BD41"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5E1E13F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42F0876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2088503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287B26B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17897CFF" w14:textId="6D6AF981"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108D0ACC" w14:textId="2C41A53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0DE3E484" w14:textId="03173464"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7AC25C7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5FFF02A8"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9F71938" w14:textId="57E059B1" w:rsidR="00770205" w:rsidRPr="000564FC" w:rsidRDefault="00770205" w:rsidP="00770205">
            <w:pPr>
              <w:pStyle w:val="TableLeftText"/>
              <w:rPr>
                <w:sz w:val="18"/>
                <w:szCs w:val="18"/>
              </w:rPr>
            </w:pPr>
            <w:r>
              <w:rPr>
                <w:rFonts w:cs="Calibri"/>
                <w:color w:val="4A4D56"/>
                <w:sz w:val="18"/>
                <w:szCs w:val="18"/>
              </w:rPr>
              <w:t>Retro-Commissioning</w:t>
            </w:r>
          </w:p>
        </w:tc>
        <w:tc>
          <w:tcPr>
            <w:tcW w:w="584" w:type="pct"/>
            <w:shd w:val="clear" w:color="auto" w:fill="BFCEED" w:themeFill="accent1" w:themeFillTint="33"/>
          </w:tcPr>
          <w:p w14:paraId="678F3C07" w14:textId="5BFBCF66" w:rsidR="00770205" w:rsidRPr="000564FC"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Virtual SEM</w:t>
            </w:r>
          </w:p>
        </w:tc>
        <w:tc>
          <w:tcPr>
            <w:tcW w:w="303" w:type="pct"/>
            <w:shd w:val="clear" w:color="auto" w:fill="B3D3FB" w:themeFill="text2" w:themeFillTint="33"/>
          </w:tcPr>
          <w:p w14:paraId="7CFECBB4" w14:textId="0A40737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55D9BF8F" w14:textId="7C7AB36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1D96C4DE" w14:textId="278D8D8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3C0B2C0D" w14:textId="4D03D84B"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13A5B96E" w14:textId="616A7B2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57C7681B" w14:textId="08DB55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7F1C80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31935D7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7D750BB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0E4F973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1E68FF1C" w14:textId="051B716F"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3D0F9EC1" w14:textId="4F3D7E19"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1B4A13D4" w14:textId="1AAF397F"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03E76AF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004D5F0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5515D613" w14:textId="35B3A491" w:rsidR="00770205" w:rsidRPr="000564FC" w:rsidRDefault="00770205" w:rsidP="00770205">
            <w:pPr>
              <w:pStyle w:val="TableLeftText"/>
              <w:rPr>
                <w:sz w:val="18"/>
                <w:szCs w:val="18"/>
              </w:rPr>
            </w:pPr>
            <w:r>
              <w:rPr>
                <w:rFonts w:cs="Calibri"/>
                <w:color w:val="4A4D56"/>
                <w:sz w:val="18"/>
                <w:szCs w:val="18"/>
              </w:rPr>
              <w:t>Streetlighting</w:t>
            </w:r>
          </w:p>
        </w:tc>
        <w:tc>
          <w:tcPr>
            <w:tcW w:w="584" w:type="pct"/>
            <w:shd w:val="clear" w:color="auto" w:fill="BFCEED" w:themeFill="accent1" w:themeFillTint="33"/>
          </w:tcPr>
          <w:p w14:paraId="41C27816" w14:textId="3EBCA225"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MOSL</w:t>
            </w:r>
          </w:p>
        </w:tc>
        <w:tc>
          <w:tcPr>
            <w:tcW w:w="303" w:type="pct"/>
            <w:shd w:val="clear" w:color="auto" w:fill="B3D3FB" w:themeFill="text2" w:themeFillTint="33"/>
          </w:tcPr>
          <w:p w14:paraId="5C85AE05" w14:textId="02BCD7D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0F71E157" w14:textId="6C5E8FB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1EDE932F" w14:textId="769C7C6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5BC13DFA" w14:textId="27D37782"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1F7379BD" w14:textId="306B84D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2C11F9F0" w14:textId="52A21E2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48AE417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6011F41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2BCE780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2ADFF55F"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6CD4F9E7" w14:textId="570E175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4183FC31" w14:textId="52064EE9"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7F6EC594" w14:textId="6599A2C5"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579EC08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14DE1ECE"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5CAEAD4D" w14:textId="65A528F3" w:rsidR="00770205" w:rsidRDefault="00770205" w:rsidP="00770205">
            <w:pPr>
              <w:pStyle w:val="TableLeftText"/>
              <w:rPr>
                <w:rFonts w:cs="Calibri"/>
                <w:color w:val="4A4D56"/>
                <w:sz w:val="18"/>
                <w:szCs w:val="18"/>
              </w:rPr>
            </w:pPr>
            <w:r>
              <w:rPr>
                <w:rFonts w:cs="Calibri"/>
                <w:color w:val="4A4D56"/>
                <w:sz w:val="18"/>
                <w:szCs w:val="18"/>
              </w:rPr>
              <w:t>Streetlighting</w:t>
            </w:r>
          </w:p>
        </w:tc>
        <w:tc>
          <w:tcPr>
            <w:tcW w:w="584" w:type="pct"/>
            <w:shd w:val="clear" w:color="auto" w:fill="BFCEED" w:themeFill="accent1" w:themeFillTint="33"/>
          </w:tcPr>
          <w:p w14:paraId="343B59CF" w14:textId="0C20E55F"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UOSL</w:t>
            </w:r>
          </w:p>
        </w:tc>
        <w:tc>
          <w:tcPr>
            <w:tcW w:w="303" w:type="pct"/>
            <w:shd w:val="clear" w:color="auto" w:fill="B3D3FB" w:themeFill="text2" w:themeFillTint="33"/>
          </w:tcPr>
          <w:p w14:paraId="63F1372F"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37DEEFE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7EA52A21"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214E385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0D32682"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4F79341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77CF977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1F3876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269E50F6"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2294BF6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3F801B6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30A711D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1464F28D"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7FB9C597"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5E0EFECE"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760297BF" w14:textId="650C20FC" w:rsidR="00770205" w:rsidRDefault="00770205" w:rsidP="00770205">
            <w:pPr>
              <w:pStyle w:val="TableLeftText"/>
              <w:rPr>
                <w:rFonts w:cs="Calibri"/>
                <w:color w:val="4A4D56"/>
                <w:sz w:val="18"/>
                <w:szCs w:val="18"/>
              </w:rPr>
            </w:pPr>
            <w:r>
              <w:rPr>
                <w:rFonts w:cs="Calibri"/>
                <w:color w:val="4A4D56"/>
                <w:sz w:val="18"/>
                <w:szCs w:val="18"/>
              </w:rPr>
              <w:t>Small Business</w:t>
            </w:r>
          </w:p>
        </w:tc>
        <w:tc>
          <w:tcPr>
            <w:tcW w:w="584" w:type="pct"/>
            <w:shd w:val="clear" w:color="auto" w:fill="BFCEED" w:themeFill="accent1" w:themeFillTint="33"/>
          </w:tcPr>
          <w:p w14:paraId="5C8477D1" w14:textId="1D5A5B96" w:rsidR="00770205"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rFonts w:cs="Calibri"/>
                <w:color w:val="4A4D56"/>
                <w:sz w:val="18"/>
                <w:szCs w:val="18"/>
              </w:rPr>
            </w:pPr>
            <w:r>
              <w:rPr>
                <w:rFonts w:cs="Calibri"/>
                <w:color w:val="4A4D56"/>
                <w:sz w:val="18"/>
                <w:szCs w:val="18"/>
              </w:rPr>
              <w:t>SBDI</w:t>
            </w:r>
          </w:p>
        </w:tc>
        <w:tc>
          <w:tcPr>
            <w:tcW w:w="303" w:type="pct"/>
            <w:shd w:val="clear" w:color="auto" w:fill="B3D3FB" w:themeFill="text2" w:themeFillTint="33"/>
          </w:tcPr>
          <w:p w14:paraId="60F56976"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1DBBA38"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2583D4D5"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4D88A4B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0E245A00"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239D711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6A0856F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5CFC68B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5A4A166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674AA37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356F0173"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7E97691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11A7D97F" w14:textId="77777777"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6F4FA8E3"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6CFC7376"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6BA0855B" w14:textId="2E783C85" w:rsidR="00770205" w:rsidRDefault="00770205" w:rsidP="00770205">
            <w:pPr>
              <w:pStyle w:val="TableLeftText"/>
              <w:rPr>
                <w:rFonts w:cs="Calibri"/>
                <w:color w:val="4A4D56"/>
                <w:sz w:val="18"/>
                <w:szCs w:val="18"/>
              </w:rPr>
            </w:pPr>
            <w:r>
              <w:rPr>
                <w:rFonts w:cs="Calibri"/>
                <w:color w:val="4A4D56"/>
                <w:sz w:val="18"/>
                <w:szCs w:val="18"/>
              </w:rPr>
              <w:t>Small Business</w:t>
            </w:r>
          </w:p>
        </w:tc>
        <w:tc>
          <w:tcPr>
            <w:tcW w:w="584" w:type="pct"/>
            <w:shd w:val="clear" w:color="auto" w:fill="BFCEED" w:themeFill="accent1" w:themeFillTint="33"/>
          </w:tcPr>
          <w:p w14:paraId="0828E355" w14:textId="55B6888A" w:rsidR="00770205"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rFonts w:cs="Calibri"/>
                <w:color w:val="4A4D56"/>
                <w:sz w:val="18"/>
                <w:szCs w:val="18"/>
              </w:rPr>
            </w:pPr>
            <w:r>
              <w:rPr>
                <w:rFonts w:cs="Calibri"/>
                <w:color w:val="4A4D56"/>
                <w:sz w:val="18"/>
                <w:szCs w:val="18"/>
              </w:rPr>
              <w:t>SBEP</w:t>
            </w:r>
          </w:p>
        </w:tc>
        <w:tc>
          <w:tcPr>
            <w:tcW w:w="303" w:type="pct"/>
            <w:shd w:val="clear" w:color="auto" w:fill="B3D3FB" w:themeFill="text2" w:themeFillTint="33"/>
          </w:tcPr>
          <w:p w14:paraId="23A5DD51"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2D283110"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79EEF4F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F38DD3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238B11B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2932B28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18F7CF3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75D5599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14DA727D"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1B66D24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529E598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1FDD07B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7D7E3E30" w14:textId="77777777"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6F24AC8C"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65DABD4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344454C" w14:textId="7AC64B39" w:rsidR="00770205" w:rsidRDefault="00770205" w:rsidP="00770205">
            <w:pPr>
              <w:pStyle w:val="TableLeftText"/>
              <w:rPr>
                <w:sz w:val="18"/>
                <w:szCs w:val="18"/>
              </w:rPr>
            </w:pPr>
            <w:r>
              <w:rPr>
                <w:rFonts w:cs="Calibri"/>
                <w:color w:val="4A4D56"/>
                <w:sz w:val="18"/>
                <w:szCs w:val="18"/>
              </w:rPr>
              <w:t>Midstream</w:t>
            </w:r>
          </w:p>
        </w:tc>
        <w:tc>
          <w:tcPr>
            <w:tcW w:w="584" w:type="pct"/>
            <w:shd w:val="clear" w:color="auto" w:fill="BFCEED" w:themeFill="accent1" w:themeFillTint="33"/>
          </w:tcPr>
          <w:p w14:paraId="5D234AB4" w14:textId="659CF53C"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Lighting</w:t>
            </w:r>
          </w:p>
        </w:tc>
        <w:tc>
          <w:tcPr>
            <w:tcW w:w="303" w:type="pct"/>
            <w:shd w:val="clear" w:color="auto" w:fill="B3D3FB" w:themeFill="text2" w:themeFillTint="33"/>
          </w:tcPr>
          <w:p w14:paraId="2DF5B84E" w14:textId="131A74E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6AC44CE" w14:textId="4FD7566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59D85CB7" w14:textId="4F9986DB"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5C69B611" w14:textId="12CFF93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5E7A7EFE" w14:textId="19C417C1"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1C66C7CB" w14:textId="6A8209EF"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2E0B715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0807F21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33DF543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19AF99F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00B2E24B" w14:textId="3845D82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699FFBE2" w14:textId="4E2338C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398F067D" w14:textId="21B23EE2"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3EF8B23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0A918461"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139C34F2" w14:textId="2486121B" w:rsidR="00770205" w:rsidRDefault="00770205" w:rsidP="00770205">
            <w:pPr>
              <w:pStyle w:val="TableLeftText"/>
              <w:rPr>
                <w:sz w:val="18"/>
                <w:szCs w:val="18"/>
              </w:rPr>
            </w:pPr>
            <w:r>
              <w:rPr>
                <w:rFonts w:cs="Calibri"/>
                <w:color w:val="4A4D56"/>
                <w:sz w:val="18"/>
                <w:szCs w:val="18"/>
              </w:rPr>
              <w:t>Midstream</w:t>
            </w:r>
          </w:p>
        </w:tc>
        <w:tc>
          <w:tcPr>
            <w:tcW w:w="584" w:type="pct"/>
            <w:shd w:val="clear" w:color="auto" w:fill="BFCEED" w:themeFill="accent1" w:themeFillTint="33"/>
          </w:tcPr>
          <w:p w14:paraId="6AA7EDD2" w14:textId="0329664A" w:rsidR="00770205" w:rsidRPr="000564FC"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HVAC</w:t>
            </w:r>
          </w:p>
        </w:tc>
        <w:tc>
          <w:tcPr>
            <w:tcW w:w="303" w:type="pct"/>
            <w:shd w:val="clear" w:color="auto" w:fill="B3D3FB" w:themeFill="text2" w:themeFillTint="33"/>
          </w:tcPr>
          <w:p w14:paraId="475B7D30" w14:textId="645CDF93"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1BDE637F" w14:textId="06E3987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3D9BB66F" w14:textId="77DA25A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19B29C1D" w14:textId="29BDF7D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741BCB90" w14:textId="6F3D9D0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695D5B01" w14:textId="46BA2C2D"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3D7933C5"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6DC3D07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0C20BB59"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5EC00AA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08651018" w14:textId="5ABAAE36"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28272C61" w14:textId="165F227C"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01DE5FE8" w14:textId="79038055"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4B11F284"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0453C7DB"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0B90403A" w14:textId="21E5E373" w:rsidR="00770205" w:rsidRDefault="00770205" w:rsidP="00770205">
            <w:pPr>
              <w:pStyle w:val="TableLeftText"/>
              <w:rPr>
                <w:sz w:val="18"/>
                <w:szCs w:val="18"/>
              </w:rPr>
            </w:pPr>
            <w:r>
              <w:rPr>
                <w:rFonts w:cs="Calibri"/>
                <w:color w:val="4A4D56"/>
                <w:sz w:val="18"/>
                <w:szCs w:val="18"/>
              </w:rPr>
              <w:t>Midstream</w:t>
            </w:r>
          </w:p>
        </w:tc>
        <w:tc>
          <w:tcPr>
            <w:tcW w:w="584" w:type="pct"/>
            <w:shd w:val="clear" w:color="auto" w:fill="BFCEED" w:themeFill="accent1" w:themeFillTint="33"/>
          </w:tcPr>
          <w:p w14:paraId="37FCB362" w14:textId="1CEAB63B"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Food Service</w:t>
            </w:r>
          </w:p>
        </w:tc>
        <w:tc>
          <w:tcPr>
            <w:tcW w:w="303" w:type="pct"/>
            <w:shd w:val="clear" w:color="auto" w:fill="B3D3FB" w:themeFill="text2" w:themeFillTint="33"/>
          </w:tcPr>
          <w:p w14:paraId="747A86EC" w14:textId="1AB0995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1B970126" w14:textId="4AF456B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0B13DA90" w14:textId="59C3E35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13B46BEE" w14:textId="44E329B5"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0B9D43FC" w14:textId="5958F60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2B45C8B4" w14:textId="7591117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2F317709"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17B05F5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6446B352"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075A3067"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29FF8A34" w14:textId="628A7AAC"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4B65BBDD" w14:textId="664AE6F0"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18E4F85C" w14:textId="59F9FC24"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2318AA8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70205" w:rsidRPr="006629DB" w14:paraId="19750B2C"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1D26CDDD" w14:textId="6E4AA01A" w:rsidR="00770205" w:rsidRDefault="00770205" w:rsidP="00770205">
            <w:pPr>
              <w:pStyle w:val="TableLeftText"/>
              <w:rPr>
                <w:sz w:val="18"/>
                <w:szCs w:val="18"/>
              </w:rPr>
            </w:pPr>
            <w:r>
              <w:rPr>
                <w:rFonts w:cs="Calibri"/>
                <w:color w:val="4A4D56"/>
                <w:sz w:val="18"/>
                <w:szCs w:val="18"/>
              </w:rPr>
              <w:t>Midstream</w:t>
            </w:r>
          </w:p>
        </w:tc>
        <w:tc>
          <w:tcPr>
            <w:tcW w:w="584" w:type="pct"/>
            <w:shd w:val="clear" w:color="auto" w:fill="BFCEED" w:themeFill="accent1" w:themeFillTint="33"/>
          </w:tcPr>
          <w:p w14:paraId="74B45EB0" w14:textId="028008BF" w:rsidR="00770205" w:rsidRPr="000564FC" w:rsidRDefault="00770205" w:rsidP="00770205">
            <w:pPr>
              <w:pStyle w:val="TableLeftText"/>
              <w:cnfStyle w:val="000000010000" w:firstRow="0" w:lastRow="0" w:firstColumn="0" w:lastColumn="0" w:oddVBand="0" w:evenVBand="0" w:oddHBand="0" w:evenHBand="1" w:firstRowFirstColumn="0" w:firstRowLastColumn="0" w:lastRowFirstColumn="0" w:lastRowLastColumn="0"/>
              <w:rPr>
                <w:sz w:val="18"/>
                <w:szCs w:val="18"/>
              </w:rPr>
            </w:pPr>
            <w:r>
              <w:rPr>
                <w:rFonts w:cs="Calibri"/>
                <w:color w:val="4A4D56"/>
                <w:sz w:val="18"/>
                <w:szCs w:val="18"/>
              </w:rPr>
              <w:t>Carryover</w:t>
            </w:r>
          </w:p>
        </w:tc>
        <w:tc>
          <w:tcPr>
            <w:tcW w:w="303" w:type="pct"/>
            <w:shd w:val="clear" w:color="auto" w:fill="B3D3FB" w:themeFill="text2" w:themeFillTint="33"/>
          </w:tcPr>
          <w:p w14:paraId="46A18A1C" w14:textId="749F6A40"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CDDDF4" w:themeFill="accent2" w:themeFillTint="33"/>
          </w:tcPr>
          <w:p w14:paraId="3E3C3DE5" w14:textId="1226C6A5"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CDDDF4" w:themeFill="accent2" w:themeFillTint="33"/>
          </w:tcPr>
          <w:p w14:paraId="281F5F59" w14:textId="7C8B96D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CDDDF4" w:themeFill="accent2" w:themeFillTint="33"/>
          </w:tcPr>
          <w:p w14:paraId="5699950D" w14:textId="6FBE8F4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D2EDF9" w:themeFill="accent3" w:themeFillTint="33"/>
          </w:tcPr>
          <w:p w14:paraId="5CF7E4A5" w14:textId="458DE608"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D2EDF9" w:themeFill="accent3" w:themeFillTint="33"/>
          </w:tcPr>
          <w:p w14:paraId="2D0B6E60" w14:textId="23E28ED2"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D2EDF9" w:themeFill="accent3" w:themeFillTint="33"/>
          </w:tcPr>
          <w:p w14:paraId="2A9629F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D2EDF9" w:themeFill="accent3" w:themeFillTint="33"/>
          </w:tcPr>
          <w:p w14:paraId="5DD41748"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D2EDF9" w:themeFill="accent3" w:themeFillTint="33"/>
          </w:tcPr>
          <w:p w14:paraId="2C8E145A"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61AF8973"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E5E5F2" w:themeFill="accent4" w:themeFillTint="33"/>
          </w:tcPr>
          <w:p w14:paraId="2638E8EE" w14:textId="03A31ED5"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E5E5F2" w:themeFill="accent4" w:themeFillTint="33"/>
          </w:tcPr>
          <w:p w14:paraId="704CB85E" w14:textId="3861310A"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E5E5F2" w:themeFill="accent4" w:themeFillTint="33"/>
          </w:tcPr>
          <w:p w14:paraId="4A49DA0B" w14:textId="03F71159" w:rsidR="00770205" w:rsidRPr="000564FC" w:rsidRDefault="00770205" w:rsidP="00770205">
            <w:pPr>
              <w:pStyle w:val="TableCenterText"/>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DDDFEE" w:themeFill="accent5" w:themeFillTint="33"/>
          </w:tcPr>
          <w:p w14:paraId="0E3EC76B" w14:textId="77777777" w:rsidR="00770205" w:rsidRPr="000564FC" w:rsidRDefault="00770205" w:rsidP="00770205">
            <w:pPr>
              <w:pStyle w:val="TableCenterText"/>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70205" w:rsidRPr="006629DB" w14:paraId="2C6EC060"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BFCEED" w:themeFill="accent1" w:themeFillTint="33"/>
          </w:tcPr>
          <w:p w14:paraId="3A3A4C69" w14:textId="0F32A8D1" w:rsidR="00770205" w:rsidRDefault="00770205" w:rsidP="00770205">
            <w:pPr>
              <w:pStyle w:val="TableLeftText"/>
              <w:rPr>
                <w:sz w:val="18"/>
                <w:szCs w:val="18"/>
              </w:rPr>
            </w:pPr>
            <w:r>
              <w:rPr>
                <w:rFonts w:cs="Calibri"/>
                <w:color w:val="4A4D56"/>
                <w:sz w:val="18"/>
                <w:szCs w:val="18"/>
              </w:rPr>
              <w:t>Market Transformation</w:t>
            </w:r>
          </w:p>
        </w:tc>
        <w:tc>
          <w:tcPr>
            <w:tcW w:w="584" w:type="pct"/>
            <w:shd w:val="clear" w:color="auto" w:fill="BFCEED" w:themeFill="accent1" w:themeFillTint="33"/>
          </w:tcPr>
          <w:p w14:paraId="69921F2D" w14:textId="31438B7E" w:rsidR="00770205" w:rsidRPr="000564FC" w:rsidRDefault="00770205" w:rsidP="00770205">
            <w:pPr>
              <w:pStyle w:val="TableLeftText"/>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4A4D56"/>
                <w:sz w:val="18"/>
                <w:szCs w:val="18"/>
              </w:rPr>
              <w:t>LLLC Pilot</w:t>
            </w:r>
          </w:p>
        </w:tc>
        <w:tc>
          <w:tcPr>
            <w:tcW w:w="303" w:type="pct"/>
            <w:shd w:val="clear" w:color="auto" w:fill="B3D3FB" w:themeFill="text2" w:themeFillTint="33"/>
          </w:tcPr>
          <w:p w14:paraId="25C2E2AE" w14:textId="4B1465DE"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407F052D" w14:textId="507246D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63F672A0" w14:textId="7ED870F4"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009857D2" w14:textId="7E4D8446"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6F6DB1C8" w14:textId="28D7EA8A"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E4A4316" w14:textId="3F7C911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61FC8AEA"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306A30BD"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74DC948E"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4D3BF9E1"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10EE14F7" w14:textId="06ECA4D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18A7149C" w14:textId="23BC393D"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5CCE6615" w14:textId="22BC0FF0" w:rsidR="00770205" w:rsidRPr="000564FC" w:rsidRDefault="00770205" w:rsidP="00770205">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752F236B" w14:textId="77777777" w:rsidR="00770205" w:rsidRPr="000564FC" w:rsidRDefault="00770205" w:rsidP="00770205">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19360C" w:rsidRPr="007A679D" w14:paraId="3B14DB17"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02" w:type="pct"/>
            <w:gridSpan w:val="2"/>
            <w:tcBorders>
              <w:right w:val="nil"/>
            </w:tcBorders>
            <w:shd w:val="clear" w:color="auto" w:fill="4A4D56" w:themeFill="text1"/>
          </w:tcPr>
          <w:p w14:paraId="2FD6EA22" w14:textId="77777777" w:rsidR="00067DBC" w:rsidRPr="000564FC" w:rsidRDefault="00067DBC" w:rsidP="002C7F49">
            <w:pPr>
              <w:pStyle w:val="TableLeftText"/>
              <w:rPr>
                <w:rFonts w:ascii="Franklin Gothic Medium" w:hAnsi="Franklin Gothic Medium"/>
                <w:color w:val="FFFFFF" w:themeColor="background1"/>
                <w:sz w:val="18"/>
                <w:szCs w:val="18"/>
              </w:rPr>
            </w:pPr>
            <w:r w:rsidRPr="000564FC">
              <w:rPr>
                <w:rFonts w:ascii="Franklin Gothic Medium" w:hAnsi="Franklin Gothic Medium"/>
                <w:color w:val="FFFFFF" w:themeColor="background1"/>
                <w:sz w:val="18"/>
                <w:szCs w:val="18"/>
              </w:rPr>
              <w:t>Voltage Optimization Program</w:t>
            </w:r>
          </w:p>
        </w:tc>
        <w:tc>
          <w:tcPr>
            <w:tcW w:w="303" w:type="pct"/>
            <w:tcBorders>
              <w:left w:val="nil"/>
              <w:right w:val="nil"/>
            </w:tcBorders>
            <w:shd w:val="clear" w:color="auto" w:fill="4A4D56" w:themeFill="text1"/>
          </w:tcPr>
          <w:p w14:paraId="62E0EA39"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46" w:type="pct"/>
            <w:tcBorders>
              <w:left w:val="nil"/>
              <w:right w:val="nil"/>
            </w:tcBorders>
            <w:shd w:val="clear" w:color="auto" w:fill="4A4D56" w:themeFill="text1"/>
          </w:tcPr>
          <w:p w14:paraId="69867EA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03" w:type="pct"/>
            <w:tcBorders>
              <w:left w:val="nil"/>
              <w:right w:val="nil"/>
            </w:tcBorders>
            <w:shd w:val="clear" w:color="auto" w:fill="4A4D56" w:themeFill="text1"/>
          </w:tcPr>
          <w:p w14:paraId="67B670E3"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238" w:type="pct"/>
            <w:tcBorders>
              <w:left w:val="nil"/>
              <w:right w:val="nil"/>
            </w:tcBorders>
            <w:shd w:val="clear" w:color="auto" w:fill="4A4D56" w:themeFill="text1"/>
          </w:tcPr>
          <w:p w14:paraId="5D159D96"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195" w:type="pct"/>
            <w:tcBorders>
              <w:left w:val="nil"/>
              <w:right w:val="nil"/>
            </w:tcBorders>
            <w:shd w:val="clear" w:color="auto" w:fill="4A4D56" w:themeFill="text1"/>
          </w:tcPr>
          <w:p w14:paraId="214B7DA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216" w:type="pct"/>
            <w:tcBorders>
              <w:left w:val="nil"/>
              <w:right w:val="nil"/>
            </w:tcBorders>
            <w:shd w:val="clear" w:color="auto" w:fill="4A4D56" w:themeFill="text1"/>
          </w:tcPr>
          <w:p w14:paraId="681F3FCF"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238" w:type="pct"/>
            <w:tcBorders>
              <w:left w:val="nil"/>
              <w:right w:val="nil"/>
            </w:tcBorders>
            <w:shd w:val="clear" w:color="auto" w:fill="4A4D56" w:themeFill="text1"/>
          </w:tcPr>
          <w:p w14:paraId="11DFDC7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24" w:type="pct"/>
            <w:tcBorders>
              <w:left w:val="nil"/>
              <w:right w:val="nil"/>
            </w:tcBorders>
            <w:shd w:val="clear" w:color="auto" w:fill="4A4D56" w:themeFill="text1"/>
          </w:tcPr>
          <w:p w14:paraId="541A7DA7"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03" w:type="pct"/>
            <w:tcBorders>
              <w:left w:val="nil"/>
              <w:right w:val="nil"/>
            </w:tcBorders>
            <w:shd w:val="clear" w:color="auto" w:fill="4A4D56" w:themeFill="text1"/>
          </w:tcPr>
          <w:p w14:paraId="17534C2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89" w:type="pct"/>
            <w:tcBorders>
              <w:left w:val="nil"/>
              <w:right w:val="nil"/>
            </w:tcBorders>
            <w:shd w:val="clear" w:color="auto" w:fill="4A4D56" w:themeFill="text1"/>
          </w:tcPr>
          <w:p w14:paraId="719C6D5F"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259" w:type="pct"/>
            <w:tcBorders>
              <w:left w:val="nil"/>
              <w:right w:val="nil"/>
            </w:tcBorders>
            <w:shd w:val="clear" w:color="auto" w:fill="4A4D56" w:themeFill="text1"/>
          </w:tcPr>
          <w:p w14:paraId="191CB81F"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238" w:type="pct"/>
            <w:tcBorders>
              <w:left w:val="nil"/>
              <w:right w:val="nil"/>
            </w:tcBorders>
            <w:shd w:val="clear" w:color="auto" w:fill="4A4D56" w:themeFill="text1"/>
          </w:tcPr>
          <w:p w14:paraId="7DD0323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389" w:type="pct"/>
            <w:tcBorders>
              <w:left w:val="nil"/>
              <w:right w:val="nil"/>
            </w:tcBorders>
            <w:shd w:val="clear" w:color="auto" w:fill="4A4D56" w:themeFill="text1"/>
          </w:tcPr>
          <w:p w14:paraId="372411BF"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c>
          <w:tcPr>
            <w:tcW w:w="157" w:type="pct"/>
            <w:tcBorders>
              <w:left w:val="nil"/>
            </w:tcBorders>
            <w:shd w:val="clear" w:color="auto" w:fill="4A4D56" w:themeFill="text1"/>
          </w:tcPr>
          <w:p w14:paraId="7DC9A03A"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FFFFFF" w:themeColor="background1"/>
                <w:sz w:val="18"/>
                <w:szCs w:val="18"/>
              </w:rPr>
            </w:pPr>
          </w:p>
        </w:tc>
      </w:tr>
      <w:tr w:rsidR="00067DBC" w:rsidRPr="006629DB" w14:paraId="63F4B7B7"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02" w:type="pct"/>
            <w:gridSpan w:val="2"/>
            <w:shd w:val="clear" w:color="auto" w:fill="BFCEED" w:themeFill="accent1" w:themeFillTint="33"/>
          </w:tcPr>
          <w:p w14:paraId="2A25CB50" w14:textId="77777777" w:rsidR="00067DBC" w:rsidRPr="000564FC" w:rsidRDefault="00067DBC" w:rsidP="002C7F49">
            <w:pPr>
              <w:pStyle w:val="TableLeftText"/>
              <w:rPr>
                <w:sz w:val="18"/>
                <w:szCs w:val="18"/>
              </w:rPr>
            </w:pPr>
            <w:r w:rsidRPr="000564FC">
              <w:rPr>
                <w:sz w:val="18"/>
                <w:szCs w:val="18"/>
              </w:rPr>
              <w:t>Voltage Optimization</w:t>
            </w:r>
          </w:p>
        </w:tc>
        <w:tc>
          <w:tcPr>
            <w:tcW w:w="303" w:type="pct"/>
            <w:shd w:val="clear" w:color="auto" w:fill="B3D3FB" w:themeFill="text2" w:themeFillTint="33"/>
          </w:tcPr>
          <w:p w14:paraId="06F57A42" w14:textId="56F51F2A"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46" w:type="pct"/>
            <w:shd w:val="clear" w:color="auto" w:fill="CDDDF4" w:themeFill="accent2" w:themeFillTint="33"/>
          </w:tcPr>
          <w:p w14:paraId="125FE050" w14:textId="2A3539BF"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CDDDF4" w:themeFill="accent2" w:themeFillTint="33"/>
          </w:tcPr>
          <w:p w14:paraId="032D2898" w14:textId="3C447B26"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CDDDF4" w:themeFill="accent2" w:themeFillTint="33"/>
          </w:tcPr>
          <w:p w14:paraId="767B064A" w14:textId="06D1DE29"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95" w:type="pct"/>
            <w:shd w:val="clear" w:color="auto" w:fill="D2EDF9" w:themeFill="accent3" w:themeFillTint="33"/>
          </w:tcPr>
          <w:p w14:paraId="68AD3221" w14:textId="57482C2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shd w:val="clear" w:color="auto" w:fill="D2EDF9" w:themeFill="accent3" w:themeFillTint="33"/>
          </w:tcPr>
          <w:p w14:paraId="57690676" w14:textId="705DBDD3"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D2EDF9" w:themeFill="accent3" w:themeFillTint="33"/>
          </w:tcPr>
          <w:p w14:paraId="7329BAF9"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24" w:type="pct"/>
            <w:shd w:val="clear" w:color="auto" w:fill="D2EDF9" w:themeFill="accent3" w:themeFillTint="33"/>
          </w:tcPr>
          <w:p w14:paraId="22F6E80E"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03" w:type="pct"/>
            <w:shd w:val="clear" w:color="auto" w:fill="D2EDF9" w:themeFill="accent3" w:themeFillTint="33"/>
          </w:tcPr>
          <w:p w14:paraId="753135D4"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7BEAF08F"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59" w:type="pct"/>
            <w:shd w:val="clear" w:color="auto" w:fill="E5E5F2" w:themeFill="accent4" w:themeFillTint="33"/>
          </w:tcPr>
          <w:p w14:paraId="7F1BA989" w14:textId="09D5F67D"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38" w:type="pct"/>
            <w:shd w:val="clear" w:color="auto" w:fill="E5E5F2" w:themeFill="accent4" w:themeFillTint="33"/>
          </w:tcPr>
          <w:p w14:paraId="6343FC41" w14:textId="2D25450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389" w:type="pct"/>
            <w:shd w:val="clear" w:color="auto" w:fill="E5E5F2" w:themeFill="accent4" w:themeFillTint="33"/>
          </w:tcPr>
          <w:p w14:paraId="423143D2" w14:textId="6C665705" w:rsidR="00067DBC" w:rsidRPr="000564FC" w:rsidRDefault="00067DBC" w:rsidP="002C7F49">
            <w:pPr>
              <w:pStyle w:val="TableCenterText"/>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57" w:type="pct"/>
            <w:shd w:val="clear" w:color="auto" w:fill="DDDFEE" w:themeFill="accent5" w:themeFillTint="33"/>
          </w:tcPr>
          <w:p w14:paraId="7703B2F1" w14:textId="074B3CC0"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067DBC" w:rsidRPr="006629DB" w14:paraId="5C349D90" w14:textId="77777777" w:rsidTr="002C7F49">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18" w:type="pct"/>
            <w:shd w:val="clear" w:color="auto" w:fill="4A4D56" w:themeFill="text1"/>
          </w:tcPr>
          <w:p w14:paraId="3E38E489" w14:textId="77777777" w:rsidR="00067DBC" w:rsidRPr="000564FC" w:rsidRDefault="00067DBC" w:rsidP="002C7F49">
            <w:pPr>
              <w:pStyle w:val="TableLeftText"/>
              <w:rPr>
                <w:sz w:val="18"/>
                <w:szCs w:val="18"/>
              </w:rPr>
            </w:pPr>
          </w:p>
        </w:tc>
        <w:tc>
          <w:tcPr>
            <w:tcW w:w="584" w:type="pct"/>
            <w:shd w:val="clear" w:color="auto" w:fill="4A4D56" w:themeFill="text1"/>
          </w:tcPr>
          <w:p w14:paraId="27A43BAE" w14:textId="77777777" w:rsidR="00067DBC" w:rsidRPr="000564FC" w:rsidRDefault="00067DBC" w:rsidP="002C7F49">
            <w:pPr>
              <w:pStyle w:val="TableLeftTex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4A4D56" w:themeFill="text1"/>
          </w:tcPr>
          <w:p w14:paraId="629248D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46" w:type="pct"/>
            <w:shd w:val="clear" w:color="auto" w:fill="4A4D56" w:themeFill="text1"/>
          </w:tcPr>
          <w:p w14:paraId="21025181"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4A4D56" w:themeFill="text1"/>
          </w:tcPr>
          <w:p w14:paraId="70FD881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4A4D56" w:themeFill="text1"/>
          </w:tcPr>
          <w:p w14:paraId="4959FBF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95" w:type="pct"/>
            <w:shd w:val="clear" w:color="auto" w:fill="4A4D56" w:themeFill="text1"/>
          </w:tcPr>
          <w:p w14:paraId="1C2351DA"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16" w:type="pct"/>
            <w:shd w:val="clear" w:color="auto" w:fill="4A4D56" w:themeFill="text1"/>
          </w:tcPr>
          <w:p w14:paraId="1207D0F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4A4D56" w:themeFill="text1"/>
          </w:tcPr>
          <w:p w14:paraId="50E96DF9"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24" w:type="pct"/>
            <w:shd w:val="clear" w:color="auto" w:fill="4A4D56" w:themeFill="text1"/>
          </w:tcPr>
          <w:p w14:paraId="262CD129"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03" w:type="pct"/>
            <w:shd w:val="clear" w:color="auto" w:fill="4A4D56" w:themeFill="text1"/>
          </w:tcPr>
          <w:p w14:paraId="2060D45C"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4A4D56" w:themeFill="text1"/>
          </w:tcPr>
          <w:p w14:paraId="3DBF855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59" w:type="pct"/>
            <w:shd w:val="clear" w:color="auto" w:fill="4A4D56" w:themeFill="text1"/>
          </w:tcPr>
          <w:p w14:paraId="776A6198"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238" w:type="pct"/>
            <w:shd w:val="clear" w:color="auto" w:fill="4A4D56" w:themeFill="text1"/>
          </w:tcPr>
          <w:p w14:paraId="472EF702"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389" w:type="pct"/>
            <w:shd w:val="clear" w:color="auto" w:fill="4A4D56" w:themeFill="text1"/>
          </w:tcPr>
          <w:p w14:paraId="6FC6EC0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c>
          <w:tcPr>
            <w:tcW w:w="157" w:type="pct"/>
            <w:shd w:val="clear" w:color="auto" w:fill="4A4D56" w:themeFill="text1"/>
          </w:tcPr>
          <w:p w14:paraId="3D5AB73E" w14:textId="77777777" w:rsidR="00067DBC" w:rsidRPr="000564FC" w:rsidRDefault="00067DBC" w:rsidP="002C7F49">
            <w:pPr>
              <w:pStyle w:val="TableCenterText"/>
              <w:cnfStyle w:val="000000010000" w:firstRow="0" w:lastRow="0" w:firstColumn="0" w:lastColumn="0" w:oddVBand="0" w:evenVBand="0" w:oddHBand="0" w:evenHBand="1" w:firstRowFirstColumn="0" w:firstRowLastColumn="0" w:lastRowFirstColumn="0" w:lastRowLastColumn="0"/>
              <w:rPr>
                <w:sz w:val="18"/>
                <w:szCs w:val="18"/>
              </w:rPr>
            </w:pPr>
          </w:p>
        </w:tc>
      </w:tr>
      <w:tr w:rsidR="00067DBC" w:rsidRPr="006629DB" w14:paraId="5415066C" w14:textId="77777777" w:rsidTr="002C7F4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102" w:type="pct"/>
            <w:gridSpan w:val="2"/>
            <w:shd w:val="clear" w:color="auto" w:fill="BFCEED" w:themeFill="accent1" w:themeFillTint="33"/>
          </w:tcPr>
          <w:p w14:paraId="698D878F" w14:textId="77777777" w:rsidR="00067DBC" w:rsidRPr="000564FC" w:rsidRDefault="00067DBC" w:rsidP="002C7F49">
            <w:pPr>
              <w:pStyle w:val="TableLeftText"/>
              <w:rPr>
                <w:rFonts w:ascii="Franklin Gothic Medium" w:hAnsi="Franklin Gothic Medium"/>
                <w:sz w:val="18"/>
                <w:szCs w:val="18"/>
              </w:rPr>
            </w:pPr>
            <w:r w:rsidRPr="000564FC">
              <w:rPr>
                <w:rFonts w:ascii="Franklin Gothic Medium" w:hAnsi="Franklin Gothic Medium"/>
                <w:sz w:val="18"/>
                <w:szCs w:val="18"/>
              </w:rPr>
              <w:t>Portfolio Total</w:t>
            </w:r>
          </w:p>
        </w:tc>
        <w:tc>
          <w:tcPr>
            <w:tcW w:w="303" w:type="pct"/>
            <w:shd w:val="clear" w:color="auto" w:fill="B3D3FB" w:themeFill="text2" w:themeFillTint="33"/>
          </w:tcPr>
          <w:p w14:paraId="75966884" w14:textId="294CF121"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46" w:type="pct"/>
            <w:shd w:val="clear" w:color="auto" w:fill="CDDDF4" w:themeFill="accent2" w:themeFillTint="33"/>
          </w:tcPr>
          <w:p w14:paraId="26347B8D" w14:textId="6AC52C9A"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03" w:type="pct"/>
            <w:shd w:val="clear" w:color="auto" w:fill="CDDDF4" w:themeFill="accent2" w:themeFillTint="33"/>
          </w:tcPr>
          <w:p w14:paraId="4674A3C5" w14:textId="50265CDB"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238" w:type="pct"/>
            <w:shd w:val="clear" w:color="auto" w:fill="CDDDF4" w:themeFill="accent2" w:themeFillTint="33"/>
          </w:tcPr>
          <w:p w14:paraId="03BB845A" w14:textId="2241C4C4"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95" w:type="pct"/>
            <w:shd w:val="clear" w:color="auto" w:fill="D2EDF9" w:themeFill="accent3" w:themeFillTint="33"/>
          </w:tcPr>
          <w:p w14:paraId="4BD1249F" w14:textId="3338B9EF"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216" w:type="pct"/>
            <w:shd w:val="clear" w:color="auto" w:fill="D2EDF9" w:themeFill="accent3" w:themeFillTint="33"/>
          </w:tcPr>
          <w:p w14:paraId="3176BCE2" w14:textId="6894E59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238" w:type="pct"/>
            <w:shd w:val="clear" w:color="auto" w:fill="D2EDF9" w:themeFill="accent3" w:themeFillTint="33"/>
          </w:tcPr>
          <w:p w14:paraId="3338EAC4"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24" w:type="pct"/>
            <w:shd w:val="clear" w:color="auto" w:fill="D2EDF9" w:themeFill="accent3" w:themeFillTint="33"/>
          </w:tcPr>
          <w:p w14:paraId="299331AE"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03" w:type="pct"/>
            <w:shd w:val="clear" w:color="auto" w:fill="D2EDF9" w:themeFill="accent3" w:themeFillTint="33"/>
          </w:tcPr>
          <w:p w14:paraId="0EE596D6"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89" w:type="pct"/>
            <w:shd w:val="clear" w:color="auto" w:fill="E5E5F2" w:themeFill="accent4" w:themeFillTint="33"/>
          </w:tcPr>
          <w:p w14:paraId="18D8532E"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259" w:type="pct"/>
            <w:shd w:val="clear" w:color="auto" w:fill="4A4D56" w:themeFill="text1"/>
          </w:tcPr>
          <w:p w14:paraId="3DFBD178"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238" w:type="pct"/>
            <w:shd w:val="clear" w:color="auto" w:fill="4A4D56" w:themeFill="text1"/>
          </w:tcPr>
          <w:p w14:paraId="009FC68F"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389" w:type="pct"/>
            <w:shd w:val="clear" w:color="auto" w:fill="4A4D56" w:themeFill="text1"/>
          </w:tcPr>
          <w:p w14:paraId="0C9106E3"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c>
          <w:tcPr>
            <w:tcW w:w="157" w:type="pct"/>
            <w:shd w:val="clear" w:color="auto" w:fill="DDDFEE" w:themeFill="accent5" w:themeFillTint="33"/>
          </w:tcPr>
          <w:p w14:paraId="32C1E904" w14:textId="77777777" w:rsidR="00067DBC" w:rsidRPr="000564FC" w:rsidRDefault="00067DBC" w:rsidP="002C7F49">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18"/>
                <w:szCs w:val="18"/>
              </w:rPr>
            </w:pPr>
          </w:p>
        </w:tc>
      </w:tr>
    </w:tbl>
    <w:p w14:paraId="45A435C3" w14:textId="77777777" w:rsidR="00067DBC" w:rsidRDefault="00067DBC" w:rsidP="00067DBC">
      <w:pPr>
        <w:contextualSpacing/>
        <w:rPr>
          <w:sz w:val="18"/>
          <w:szCs w:val="18"/>
        </w:rPr>
      </w:pPr>
      <w:r w:rsidRPr="008F51E5">
        <w:rPr>
          <w:sz w:val="18"/>
          <w:szCs w:val="18"/>
        </w:rPr>
        <w:t>Savings presented reflect actual savings achieved by the programs and do not reflect Illinois state law-allowed conversion</w:t>
      </w:r>
      <w:r>
        <w:rPr>
          <w:sz w:val="18"/>
          <w:szCs w:val="18"/>
        </w:rPr>
        <w:t xml:space="preserve">s used in determining </w:t>
      </w:r>
      <w:r w:rsidRPr="008F51E5">
        <w:rPr>
          <w:sz w:val="18"/>
          <w:szCs w:val="18"/>
        </w:rPr>
        <w:t xml:space="preserve">goal </w:t>
      </w:r>
      <w:proofErr w:type="gramStart"/>
      <w:r w:rsidRPr="008F51E5">
        <w:rPr>
          <w:sz w:val="18"/>
          <w:szCs w:val="18"/>
        </w:rPr>
        <w:t>attainment</w:t>
      </w:r>
      <w:r>
        <w:rPr>
          <w:sz w:val="18"/>
          <w:szCs w:val="18"/>
        </w:rPr>
        <w:t xml:space="preserve"> [(</w:t>
      </w:r>
      <w:proofErr w:type="gramEnd"/>
      <w:r>
        <w:rPr>
          <w:sz w:val="18"/>
          <w:szCs w:val="18"/>
        </w:rPr>
        <w:t>b-25) or (b-27) conversions].</w:t>
      </w:r>
    </w:p>
    <w:p w14:paraId="47AF57CD" w14:textId="77777777" w:rsidR="00067DBC" w:rsidRDefault="00067DBC" w:rsidP="00067DBC">
      <w:pPr>
        <w:rPr>
          <w:sz w:val="18"/>
          <w:szCs w:val="18"/>
        </w:rPr>
      </w:pPr>
      <w:r>
        <w:rPr>
          <w:sz w:val="18"/>
          <w:szCs w:val="18"/>
        </w:rPr>
        <w:t xml:space="preserve">Program costs presented in the “Portfolio Total” row include unallocated portfolio-level administrative cost and therefore are </w:t>
      </w:r>
      <w:proofErr w:type="gramStart"/>
      <w:r>
        <w:rPr>
          <w:sz w:val="18"/>
          <w:szCs w:val="18"/>
        </w:rPr>
        <w:t>in excess of</w:t>
      </w:r>
      <w:proofErr w:type="gramEnd"/>
      <w:r>
        <w:rPr>
          <w:sz w:val="18"/>
          <w:szCs w:val="18"/>
        </w:rPr>
        <w:t xml:space="preserve"> the sums of the individual rows.</w:t>
      </w:r>
    </w:p>
    <w:bookmarkEnd w:id="94"/>
    <w:p w14:paraId="3A229EA9" w14:textId="77777777" w:rsidR="00067DBC" w:rsidRDefault="00067DBC" w:rsidP="00455E81">
      <w:pPr>
        <w:sectPr w:rsidR="00067DBC" w:rsidSect="00067DBC">
          <w:headerReference w:type="default" r:id="rId25"/>
          <w:type w:val="continuous"/>
          <w:pgSz w:w="24494" w:h="15819" w:orient="landscape" w:code="8"/>
          <w:pgMar w:top="567" w:right="567" w:bottom="567" w:left="567" w:header="567" w:footer="340" w:gutter="0"/>
          <w:cols w:space="708"/>
          <w:docGrid w:linePitch="360"/>
        </w:sectPr>
      </w:pPr>
    </w:p>
    <w:p w14:paraId="251BE0CF" w14:textId="0BB79A0B" w:rsidR="00067DBC" w:rsidRDefault="00067DBC" w:rsidP="00E37377">
      <w:pPr>
        <w:pStyle w:val="Alpha"/>
      </w:pPr>
      <w:bookmarkStart w:id="97" w:name="_Toc192774872"/>
      <w:r>
        <w:lastRenderedPageBreak/>
        <w:t>2024 Program Evaluation Reports</w:t>
      </w:r>
      <w:bookmarkEnd w:id="97"/>
    </w:p>
    <w:p w14:paraId="04B05280" w14:textId="4EEE9FA3" w:rsidR="00067DBC" w:rsidRDefault="00067DBC" w:rsidP="00455E81">
      <w:r w:rsidRPr="00085C28">
        <w:t>The 202</w:t>
      </w:r>
      <w:r>
        <w:t>4</w:t>
      </w:r>
      <w:r w:rsidRPr="00085C28">
        <w:t xml:space="preserve"> Residential Program, Business Program, and Voltage Optimization Program Impact Evaluation Reports, as well as the 202</w:t>
      </w:r>
      <w:r>
        <w:t>4</w:t>
      </w:r>
      <w:r w:rsidRPr="00085C28">
        <w:t xml:space="preserve"> AIC Carryover Savings Memo are available under separate cover on the Illinois Stakeholder Advisory Group website (</w:t>
      </w:r>
      <w:hyperlink r:id="rId26" w:history="1">
        <w:r w:rsidRPr="00F20F34">
          <w:rPr>
            <w:rStyle w:val="Hyperlink"/>
            <w:rFonts w:ascii="Franklin Gothic Book" w:hAnsi="Franklin Gothic Book"/>
            <w:noProof w:val="0"/>
          </w:rPr>
          <w:t>https://www.ilsag.info</w:t>
        </w:r>
      </w:hyperlink>
      <w:r>
        <w:t>).</w:t>
      </w:r>
    </w:p>
    <w:p w14:paraId="7B599917" w14:textId="77777777" w:rsidR="00067DBC" w:rsidRDefault="00067DBC" w:rsidP="00455E81">
      <w:pPr>
        <w:sectPr w:rsidR="00067DBC" w:rsidSect="00067DBC">
          <w:footerReference w:type="default" r:id="rId27"/>
          <w:pgSz w:w="12240" w:h="15840" w:code="1"/>
          <w:pgMar w:top="567" w:right="567" w:bottom="567" w:left="567" w:header="567" w:footer="340" w:gutter="0"/>
          <w:cols w:space="708"/>
          <w:docGrid w:linePitch="360"/>
        </w:sectPr>
      </w:pPr>
    </w:p>
    <w:p w14:paraId="37530815" w14:textId="77BC8DBF" w:rsidR="00067DBC" w:rsidRDefault="00067DBC" w:rsidP="00067DBC">
      <w:pPr>
        <w:pStyle w:val="Alpha"/>
      </w:pPr>
      <w:bookmarkStart w:id="98" w:name="_Ref191841994"/>
      <w:bookmarkStart w:id="99" w:name="_Ref191841997"/>
      <w:bookmarkStart w:id="100" w:name="_Toc192774873"/>
      <w:r>
        <w:lastRenderedPageBreak/>
        <w:t>2024 Cumulative Persisting Annual Savings</w:t>
      </w:r>
      <w:bookmarkEnd w:id="98"/>
      <w:bookmarkEnd w:id="99"/>
      <w:bookmarkEnd w:id="100"/>
    </w:p>
    <w:p w14:paraId="01BFFD2A" w14:textId="5A38923F" w:rsidR="00067DBC" w:rsidRDefault="00067DBC" w:rsidP="00067DBC">
      <w:r>
        <w:t xml:space="preserve">This appendix presents detailed CPAS for the AIC portfolio by initiative. </w:t>
      </w:r>
      <w:r w:rsidRPr="005E4BA2">
        <w:t xml:space="preserve">Due to many years of CPAS, the tables can be challenging to read; please reference the separately provided CPAS spreadsheet for additional detail as needed. </w:t>
      </w:r>
      <w:r w:rsidR="00F8548D">
        <w:fldChar w:fldCharType="begin"/>
      </w:r>
      <w:r w:rsidR="00F8548D">
        <w:instrText xml:space="preserve"> REF _Ref161299962 \h </w:instrText>
      </w:r>
      <w:r w:rsidR="00F8548D">
        <w:fldChar w:fldCharType="separate"/>
      </w:r>
      <w:r w:rsidR="00F8548D">
        <w:t xml:space="preserve">Table </w:t>
      </w:r>
      <w:r w:rsidR="00F8548D">
        <w:rPr>
          <w:noProof/>
        </w:rPr>
        <w:t>19</w:t>
      </w:r>
      <w:r w:rsidR="00F8548D">
        <w:fldChar w:fldCharType="end"/>
      </w:r>
      <w:r w:rsidRPr="005E4BA2">
        <w:t xml:space="preserve"> presents CPAS for the 202</w:t>
      </w:r>
      <w:r>
        <w:t>4</w:t>
      </w:r>
      <w:r w:rsidRPr="005E4BA2">
        <w:t xml:space="preserve"> AIC portfolio through 20</w:t>
      </w:r>
      <w:r w:rsidR="00794A23">
        <w:t>7</w:t>
      </w:r>
      <w:r w:rsidR="00F8548D">
        <w:t>4</w:t>
      </w:r>
      <w:r w:rsidRPr="005E4BA2">
        <w:t xml:space="preserve"> at the initiative level. Lifetime savings for the 202</w:t>
      </w:r>
      <w:r>
        <w:t>4</w:t>
      </w:r>
      <w:r w:rsidRPr="005E4BA2">
        <w:t xml:space="preserve"> AIC portfolio are </w:t>
      </w:r>
      <w:r w:rsidR="00794A23">
        <w:t>6,193,212</w:t>
      </w:r>
      <w:r w:rsidRPr="005E4BA2">
        <w:t xml:space="preserve"> MWh.</w:t>
      </w:r>
    </w:p>
    <w:p w14:paraId="3D5FEB97" w14:textId="66B3729A" w:rsidR="00067DBC" w:rsidRDefault="00067DBC" w:rsidP="00067DBC">
      <w:pPr>
        <w:pStyle w:val="Caption"/>
      </w:pPr>
      <w:bookmarkStart w:id="101" w:name="_Ref161299962"/>
      <w:bookmarkStart w:id="102" w:name="_Toc192774893"/>
      <w:r>
        <w:t xml:space="preserve">Table </w:t>
      </w:r>
      <w:r>
        <w:fldChar w:fldCharType="begin"/>
      </w:r>
      <w:r>
        <w:instrText xml:space="preserve"> SEQ Table \* ARABIC </w:instrText>
      </w:r>
      <w:r>
        <w:fldChar w:fldCharType="separate"/>
      </w:r>
      <w:r w:rsidR="00F8548D">
        <w:rPr>
          <w:noProof/>
        </w:rPr>
        <w:t>19</w:t>
      </w:r>
      <w:r>
        <w:fldChar w:fldCharType="end"/>
      </w:r>
      <w:bookmarkEnd w:id="101"/>
      <w:r>
        <w:t>. 2024 AIC Portfolio CPAS and WAML</w:t>
      </w:r>
      <w:bookmarkEnd w:id="102"/>
    </w:p>
    <w:tbl>
      <w:tblPr>
        <w:tblStyle w:val="ODCBasic-1"/>
        <w:tblW w:w="5000" w:type="pct"/>
        <w:tblCellMar>
          <w:top w:w="0" w:type="dxa"/>
        </w:tblCellMar>
        <w:tblLook w:val="04A0" w:firstRow="1" w:lastRow="0" w:firstColumn="1" w:lastColumn="0" w:noHBand="0" w:noVBand="1"/>
      </w:tblPr>
      <w:tblGrid>
        <w:gridCol w:w="4475"/>
        <w:gridCol w:w="705"/>
        <w:gridCol w:w="1658"/>
        <w:gridCol w:w="752"/>
        <w:gridCol w:w="929"/>
        <w:gridCol w:w="929"/>
        <w:gridCol w:w="929"/>
        <w:gridCol w:w="929"/>
        <w:gridCol w:w="929"/>
        <w:gridCol w:w="929"/>
        <w:gridCol w:w="929"/>
        <w:gridCol w:w="929"/>
        <w:gridCol w:w="929"/>
        <w:gridCol w:w="929"/>
        <w:gridCol w:w="929"/>
        <w:gridCol w:w="929"/>
        <w:gridCol w:w="929"/>
        <w:gridCol w:w="929"/>
        <w:gridCol w:w="929"/>
        <w:gridCol w:w="929"/>
        <w:gridCol w:w="896"/>
      </w:tblGrid>
      <w:tr w:rsidR="00794A23" w14:paraId="096D194C" w14:textId="2490901D" w:rsidTr="00F8548D">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val="restart"/>
            <w:tcBorders>
              <w:bottom w:val="single" w:sz="4" w:space="0" w:color="4A4D56" w:themeColor="text1"/>
              <w:right w:val="single" w:sz="4" w:space="0" w:color="4A4D56" w:themeColor="text1"/>
            </w:tcBorders>
          </w:tcPr>
          <w:p w14:paraId="23DDC452" w14:textId="77777777" w:rsidR="00794A23" w:rsidRPr="00625570" w:rsidRDefault="00794A23" w:rsidP="002C7F49">
            <w:pPr>
              <w:pStyle w:val="TableHeadingLeft"/>
            </w:pPr>
            <w:r>
              <w:t>Initiative</w:t>
            </w:r>
          </w:p>
        </w:tc>
        <w:tc>
          <w:tcPr>
            <w:tcW w:w="151" w:type="pct"/>
            <w:vMerge w:val="restart"/>
            <w:tcBorders>
              <w:left w:val="single" w:sz="4" w:space="0" w:color="4A4D56" w:themeColor="text1"/>
              <w:right w:val="single" w:sz="4" w:space="0" w:color="4A4D56" w:themeColor="text1"/>
            </w:tcBorders>
          </w:tcPr>
          <w:p w14:paraId="0DC1493F" w14:textId="77777777" w:rsidR="00794A23" w:rsidRPr="00625570" w:rsidRDefault="00794A23" w:rsidP="002C7F49">
            <w:pPr>
              <w:pStyle w:val="TableHeadingCentered"/>
              <w:cnfStyle w:val="100000000000" w:firstRow="1" w:lastRow="0" w:firstColumn="0" w:lastColumn="0" w:oddVBand="0" w:evenVBand="0" w:oddHBand="0" w:evenHBand="0" w:firstRowFirstColumn="0" w:firstRowLastColumn="0" w:lastRowFirstColumn="0" w:lastRowLastColumn="0"/>
            </w:pPr>
            <w:r>
              <w:t>WAML</w:t>
            </w:r>
          </w:p>
        </w:tc>
        <w:tc>
          <w:tcPr>
            <w:tcW w:w="355" w:type="pct"/>
            <w:vMerge w:val="restart"/>
            <w:tcBorders>
              <w:left w:val="single" w:sz="4" w:space="0" w:color="4A4D56" w:themeColor="text1"/>
              <w:right w:val="single" w:sz="4" w:space="0" w:color="4A4D56" w:themeColor="text1"/>
            </w:tcBorders>
          </w:tcPr>
          <w:p w14:paraId="4B23A5FE" w14:textId="77777777" w:rsidR="00794A23" w:rsidRPr="00625570" w:rsidRDefault="00794A23" w:rsidP="002C7F49">
            <w:pPr>
              <w:pStyle w:val="TableHeadingCentered"/>
              <w:cnfStyle w:val="100000000000" w:firstRow="1" w:lastRow="0" w:firstColumn="0" w:lastColumn="0" w:oddVBand="0" w:evenVBand="0" w:oddHBand="0" w:evenHBand="0" w:firstRowFirstColumn="0" w:firstRowLastColumn="0" w:lastRowFirstColumn="0" w:lastRowLastColumn="0"/>
            </w:pPr>
            <w:r>
              <w:t>Annual Verified Gross Savings (MWh)</w:t>
            </w:r>
          </w:p>
        </w:tc>
        <w:tc>
          <w:tcPr>
            <w:tcW w:w="161" w:type="pct"/>
            <w:vMerge w:val="restart"/>
            <w:tcBorders>
              <w:left w:val="single" w:sz="4" w:space="0" w:color="4A4D56" w:themeColor="text1"/>
              <w:right w:val="single" w:sz="4" w:space="0" w:color="4A4D56" w:themeColor="text1"/>
            </w:tcBorders>
          </w:tcPr>
          <w:p w14:paraId="31A3CC47" w14:textId="77777777" w:rsidR="00794A23" w:rsidRPr="00625570" w:rsidRDefault="00794A23" w:rsidP="002C7F49">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3375" w:type="pct"/>
            <w:gridSpan w:val="17"/>
            <w:tcBorders>
              <w:left w:val="single" w:sz="4" w:space="0" w:color="4A4D56" w:themeColor="text1"/>
            </w:tcBorders>
          </w:tcPr>
          <w:p w14:paraId="58F571E4" w14:textId="1A6DA3FD" w:rsidR="00794A23" w:rsidRDefault="00794A23" w:rsidP="002C7F49">
            <w:pPr>
              <w:pStyle w:val="TableHeadingCentered"/>
              <w:cnfStyle w:val="100000000000" w:firstRow="1" w:lastRow="0" w:firstColumn="0" w:lastColumn="0" w:oddVBand="0" w:evenVBand="0" w:oddHBand="0" w:evenHBand="0" w:firstRowFirstColumn="0" w:firstRowLastColumn="0" w:lastRowFirstColumn="0" w:lastRowLastColumn="0"/>
            </w:pPr>
            <w:r>
              <w:t>CPAS – Verified Net Savings (MWh)</w:t>
            </w:r>
          </w:p>
        </w:tc>
      </w:tr>
      <w:tr w:rsidR="00F8548D" w14:paraId="548CB50D" w14:textId="5B1F0AFF" w:rsidTr="00F8548D">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tcBorders>
              <w:top w:val="single" w:sz="4" w:space="0" w:color="4A4D56" w:themeColor="text1"/>
              <w:right w:val="single" w:sz="4" w:space="0" w:color="4A4D56" w:themeColor="text1"/>
            </w:tcBorders>
          </w:tcPr>
          <w:p w14:paraId="39702318" w14:textId="77777777" w:rsidR="00F8548D" w:rsidRPr="00625570" w:rsidRDefault="00F8548D" w:rsidP="00F8548D">
            <w:pPr>
              <w:pStyle w:val="ODTable"/>
              <w:suppressAutoHyphens/>
              <w:ind w:left="72"/>
              <w:rPr>
                <w:sz w:val="18"/>
                <w:szCs w:val="18"/>
              </w:rPr>
            </w:pPr>
          </w:p>
        </w:tc>
        <w:tc>
          <w:tcPr>
            <w:tcW w:w="151" w:type="pct"/>
            <w:vMerge/>
            <w:tcBorders>
              <w:left w:val="single" w:sz="4" w:space="0" w:color="4A4D56" w:themeColor="text1"/>
              <w:right w:val="single" w:sz="4" w:space="0" w:color="4A4D56" w:themeColor="text1"/>
            </w:tcBorders>
          </w:tcPr>
          <w:p w14:paraId="1DFF292F"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rPr>
                <w:rFonts w:cs="Calibri"/>
              </w:rPr>
            </w:pPr>
          </w:p>
        </w:tc>
        <w:tc>
          <w:tcPr>
            <w:tcW w:w="355" w:type="pct"/>
            <w:vMerge/>
            <w:tcBorders>
              <w:left w:val="single" w:sz="4" w:space="0" w:color="4A4D56" w:themeColor="text1"/>
              <w:right w:val="single" w:sz="4" w:space="0" w:color="4A4D56" w:themeColor="text1"/>
            </w:tcBorders>
          </w:tcPr>
          <w:p w14:paraId="60DBC544"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61" w:type="pct"/>
            <w:vMerge/>
            <w:tcBorders>
              <w:left w:val="single" w:sz="4" w:space="0" w:color="4A4D56" w:themeColor="text1"/>
              <w:right w:val="single" w:sz="4" w:space="0" w:color="4A4D56" w:themeColor="text1"/>
            </w:tcBorders>
          </w:tcPr>
          <w:p w14:paraId="6A2BAFB2"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99" w:type="pct"/>
            <w:tcBorders>
              <w:left w:val="single" w:sz="4" w:space="0" w:color="4A4D56" w:themeColor="text1"/>
              <w:right w:val="single" w:sz="4" w:space="0" w:color="4A4D56" w:themeColor="text1"/>
            </w:tcBorders>
          </w:tcPr>
          <w:p w14:paraId="29003262" w14:textId="11D88C89"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2024</w:t>
            </w:r>
          </w:p>
        </w:tc>
        <w:tc>
          <w:tcPr>
            <w:tcW w:w="199" w:type="pct"/>
            <w:tcBorders>
              <w:top w:val="single" w:sz="4" w:space="0" w:color="4A4D56" w:themeColor="text1"/>
              <w:left w:val="single" w:sz="4" w:space="0" w:color="4A4D56" w:themeColor="text1"/>
              <w:right w:val="single" w:sz="4" w:space="0" w:color="4A4D56" w:themeColor="text1"/>
            </w:tcBorders>
          </w:tcPr>
          <w:p w14:paraId="0799909A" w14:textId="3F12721B"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2025</w:t>
            </w:r>
          </w:p>
        </w:tc>
        <w:tc>
          <w:tcPr>
            <w:tcW w:w="199" w:type="pct"/>
            <w:tcBorders>
              <w:top w:val="single" w:sz="4" w:space="0" w:color="4A4D56" w:themeColor="text1"/>
              <w:left w:val="single" w:sz="4" w:space="0" w:color="4A4D56" w:themeColor="text1"/>
              <w:right w:val="single" w:sz="4" w:space="0" w:color="4A4D56" w:themeColor="text1"/>
            </w:tcBorders>
          </w:tcPr>
          <w:p w14:paraId="294D23DC" w14:textId="23512BF6"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2026</w:t>
            </w:r>
          </w:p>
        </w:tc>
        <w:tc>
          <w:tcPr>
            <w:tcW w:w="199" w:type="pct"/>
            <w:tcBorders>
              <w:top w:val="single" w:sz="4" w:space="0" w:color="4A4D56" w:themeColor="text1"/>
              <w:left w:val="single" w:sz="4" w:space="0" w:color="4A4D56" w:themeColor="text1"/>
              <w:right w:val="single" w:sz="4" w:space="0" w:color="4A4D56" w:themeColor="text1"/>
            </w:tcBorders>
          </w:tcPr>
          <w:p w14:paraId="0F658671" w14:textId="18918EE5"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2027</w:t>
            </w:r>
          </w:p>
        </w:tc>
        <w:tc>
          <w:tcPr>
            <w:tcW w:w="199" w:type="pct"/>
            <w:tcBorders>
              <w:top w:val="single" w:sz="4" w:space="0" w:color="4A4D56" w:themeColor="text1"/>
              <w:left w:val="single" w:sz="4" w:space="0" w:color="4A4D56" w:themeColor="text1"/>
              <w:right w:val="single" w:sz="4" w:space="0" w:color="4A4D56" w:themeColor="text1"/>
            </w:tcBorders>
          </w:tcPr>
          <w:p w14:paraId="44E35685" w14:textId="2B5B3C7B"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2028</w:t>
            </w:r>
          </w:p>
        </w:tc>
        <w:tc>
          <w:tcPr>
            <w:tcW w:w="199" w:type="pct"/>
            <w:tcBorders>
              <w:top w:val="single" w:sz="4" w:space="0" w:color="4A4D56" w:themeColor="text1"/>
              <w:left w:val="single" w:sz="4" w:space="0" w:color="4A4D56" w:themeColor="text1"/>
              <w:right w:val="single" w:sz="4" w:space="0" w:color="4A4D56" w:themeColor="text1"/>
            </w:tcBorders>
          </w:tcPr>
          <w:p w14:paraId="607B125E" w14:textId="40451695"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2029</w:t>
            </w:r>
          </w:p>
        </w:tc>
        <w:tc>
          <w:tcPr>
            <w:tcW w:w="199" w:type="pct"/>
            <w:tcBorders>
              <w:top w:val="single" w:sz="4" w:space="0" w:color="4A4D56" w:themeColor="text1"/>
              <w:left w:val="single" w:sz="4" w:space="0" w:color="4A4D56" w:themeColor="text1"/>
              <w:right w:val="single" w:sz="4" w:space="0" w:color="4A4D56" w:themeColor="text1"/>
            </w:tcBorders>
          </w:tcPr>
          <w:p w14:paraId="6C7C891F" w14:textId="0F912CE0"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2030</w:t>
            </w:r>
          </w:p>
        </w:tc>
        <w:tc>
          <w:tcPr>
            <w:tcW w:w="199" w:type="pct"/>
            <w:tcBorders>
              <w:top w:val="single" w:sz="4" w:space="0" w:color="4A4D56" w:themeColor="text1"/>
              <w:left w:val="single" w:sz="4" w:space="0" w:color="4A4D56" w:themeColor="text1"/>
              <w:right w:val="single" w:sz="4" w:space="0" w:color="4A4D56" w:themeColor="text1"/>
            </w:tcBorders>
          </w:tcPr>
          <w:p w14:paraId="00A55676" w14:textId="13B3FB0F"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2031</w:t>
            </w:r>
          </w:p>
        </w:tc>
        <w:tc>
          <w:tcPr>
            <w:tcW w:w="199" w:type="pct"/>
            <w:tcBorders>
              <w:top w:val="single" w:sz="4" w:space="0" w:color="4A4D56" w:themeColor="text1"/>
              <w:left w:val="single" w:sz="4" w:space="0" w:color="4A4D56" w:themeColor="text1"/>
              <w:right w:val="single" w:sz="4" w:space="0" w:color="4A4D56" w:themeColor="text1"/>
            </w:tcBorders>
          </w:tcPr>
          <w:p w14:paraId="61F2AB6E" w14:textId="47F232B2"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2032</w:t>
            </w:r>
          </w:p>
        </w:tc>
        <w:tc>
          <w:tcPr>
            <w:tcW w:w="199" w:type="pct"/>
            <w:tcBorders>
              <w:top w:val="single" w:sz="4" w:space="0" w:color="4A4D56" w:themeColor="text1"/>
              <w:left w:val="single" w:sz="4" w:space="0" w:color="4A4D56" w:themeColor="text1"/>
              <w:right w:val="single" w:sz="4" w:space="0" w:color="4A4D56" w:themeColor="text1"/>
            </w:tcBorders>
          </w:tcPr>
          <w:p w14:paraId="35A78E81" w14:textId="72787F41"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2033</w:t>
            </w:r>
          </w:p>
        </w:tc>
        <w:tc>
          <w:tcPr>
            <w:tcW w:w="199" w:type="pct"/>
            <w:tcBorders>
              <w:top w:val="single" w:sz="4" w:space="0" w:color="4A4D56" w:themeColor="text1"/>
              <w:left w:val="single" w:sz="4" w:space="0" w:color="4A4D56" w:themeColor="text1"/>
              <w:right w:val="single" w:sz="4" w:space="0" w:color="4A4D56" w:themeColor="text1"/>
            </w:tcBorders>
          </w:tcPr>
          <w:p w14:paraId="7812AD3F" w14:textId="67DBDAB1"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2034</w:t>
            </w:r>
          </w:p>
        </w:tc>
        <w:tc>
          <w:tcPr>
            <w:tcW w:w="199" w:type="pct"/>
            <w:tcBorders>
              <w:top w:val="single" w:sz="4" w:space="0" w:color="4A4D56" w:themeColor="text1"/>
              <w:left w:val="single" w:sz="4" w:space="0" w:color="4A4D56" w:themeColor="text1"/>
              <w:right w:val="single" w:sz="4" w:space="0" w:color="4A4D56" w:themeColor="text1"/>
            </w:tcBorders>
          </w:tcPr>
          <w:p w14:paraId="7F8D478A" w14:textId="53DC8D7B"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2035</w:t>
            </w:r>
          </w:p>
        </w:tc>
        <w:tc>
          <w:tcPr>
            <w:tcW w:w="199" w:type="pct"/>
            <w:tcBorders>
              <w:top w:val="single" w:sz="4" w:space="0" w:color="4A4D56" w:themeColor="text1"/>
              <w:left w:val="single" w:sz="4" w:space="0" w:color="4A4D56" w:themeColor="text1"/>
              <w:right w:val="single" w:sz="4" w:space="0" w:color="4A4D56" w:themeColor="text1"/>
            </w:tcBorders>
          </w:tcPr>
          <w:p w14:paraId="69FE6A7F" w14:textId="795AC462"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2036</w:t>
            </w:r>
          </w:p>
        </w:tc>
        <w:tc>
          <w:tcPr>
            <w:tcW w:w="199" w:type="pct"/>
            <w:tcBorders>
              <w:left w:val="single" w:sz="4" w:space="0" w:color="4A4D56" w:themeColor="text1"/>
              <w:right w:val="single" w:sz="4" w:space="0" w:color="4A4D56" w:themeColor="text1"/>
            </w:tcBorders>
          </w:tcPr>
          <w:p w14:paraId="60488398" w14:textId="164BF1AC"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2037</w:t>
            </w:r>
          </w:p>
        </w:tc>
        <w:tc>
          <w:tcPr>
            <w:tcW w:w="199" w:type="pct"/>
            <w:tcBorders>
              <w:left w:val="single" w:sz="4" w:space="0" w:color="4A4D56" w:themeColor="text1"/>
            </w:tcBorders>
          </w:tcPr>
          <w:p w14:paraId="58ED48EA" w14:textId="12D698B4"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2038</w:t>
            </w:r>
          </w:p>
        </w:tc>
        <w:tc>
          <w:tcPr>
            <w:tcW w:w="199" w:type="pct"/>
            <w:tcBorders>
              <w:left w:val="single" w:sz="4" w:space="0" w:color="4A4D56" w:themeColor="text1"/>
            </w:tcBorders>
          </w:tcPr>
          <w:p w14:paraId="22132C06" w14:textId="7BB57740"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2039</w:t>
            </w:r>
          </w:p>
        </w:tc>
        <w:tc>
          <w:tcPr>
            <w:tcW w:w="192" w:type="pct"/>
            <w:tcBorders>
              <w:left w:val="single" w:sz="4" w:space="0" w:color="4A4D56" w:themeColor="text1"/>
            </w:tcBorders>
          </w:tcPr>
          <w:p w14:paraId="50F5CA4D" w14:textId="2E85CFBC"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2040</w:t>
            </w:r>
          </w:p>
        </w:tc>
      </w:tr>
      <w:tr w:rsidR="00F8548D" w14:paraId="550CE7FA" w14:textId="005EDADF"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350A8984" w14:textId="648B1920" w:rsidR="00F8548D" w:rsidRPr="001C50B5" w:rsidRDefault="00F8548D" w:rsidP="00F8548D">
            <w:pPr>
              <w:pStyle w:val="TableLeftText"/>
            </w:pPr>
            <w:r>
              <w:rPr>
                <w:color w:val="4A4D56"/>
              </w:rPr>
              <w:t>Retail Products Initiative</w:t>
            </w:r>
          </w:p>
        </w:tc>
        <w:tc>
          <w:tcPr>
            <w:tcW w:w="151" w:type="pct"/>
          </w:tcPr>
          <w:p w14:paraId="704A65F7" w14:textId="75A879C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9.2</w:t>
            </w:r>
          </w:p>
        </w:tc>
        <w:tc>
          <w:tcPr>
            <w:tcW w:w="355" w:type="pct"/>
          </w:tcPr>
          <w:p w14:paraId="7136ACD6" w14:textId="5B539F1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101,713</w:t>
            </w:r>
          </w:p>
        </w:tc>
        <w:tc>
          <w:tcPr>
            <w:tcW w:w="161" w:type="pct"/>
          </w:tcPr>
          <w:p w14:paraId="59919489" w14:textId="320AA47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0.890</w:t>
            </w:r>
          </w:p>
        </w:tc>
        <w:tc>
          <w:tcPr>
            <w:tcW w:w="199" w:type="pct"/>
          </w:tcPr>
          <w:p w14:paraId="40FC4348" w14:textId="51BA05A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90,509</w:t>
            </w:r>
          </w:p>
        </w:tc>
        <w:tc>
          <w:tcPr>
            <w:tcW w:w="199" w:type="pct"/>
          </w:tcPr>
          <w:p w14:paraId="28ADF022" w14:textId="488D10E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90,509</w:t>
            </w:r>
          </w:p>
        </w:tc>
        <w:tc>
          <w:tcPr>
            <w:tcW w:w="199" w:type="pct"/>
          </w:tcPr>
          <w:p w14:paraId="33E20D10" w14:textId="6F17089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90,509</w:t>
            </w:r>
          </w:p>
        </w:tc>
        <w:tc>
          <w:tcPr>
            <w:tcW w:w="199" w:type="pct"/>
          </w:tcPr>
          <w:p w14:paraId="021BE7F2" w14:textId="7362508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90,509</w:t>
            </w:r>
          </w:p>
        </w:tc>
        <w:tc>
          <w:tcPr>
            <w:tcW w:w="199" w:type="pct"/>
          </w:tcPr>
          <w:p w14:paraId="039DED2F" w14:textId="1C79D3D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90,502</w:t>
            </w:r>
          </w:p>
        </w:tc>
        <w:tc>
          <w:tcPr>
            <w:tcW w:w="199" w:type="pct"/>
          </w:tcPr>
          <w:p w14:paraId="5CA0D561" w14:textId="7B5206E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90,486</w:t>
            </w:r>
          </w:p>
        </w:tc>
        <w:tc>
          <w:tcPr>
            <w:tcW w:w="199" w:type="pct"/>
          </w:tcPr>
          <w:p w14:paraId="2126C8A4" w14:textId="0454342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90,486</w:t>
            </w:r>
          </w:p>
        </w:tc>
        <w:tc>
          <w:tcPr>
            <w:tcW w:w="199" w:type="pct"/>
          </w:tcPr>
          <w:p w14:paraId="67EC0109" w14:textId="0961B40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84,325</w:t>
            </w:r>
          </w:p>
        </w:tc>
        <w:tc>
          <w:tcPr>
            <w:tcW w:w="199" w:type="pct"/>
          </w:tcPr>
          <w:p w14:paraId="63F09EB8" w14:textId="472EEE1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30,707</w:t>
            </w:r>
          </w:p>
        </w:tc>
        <w:tc>
          <w:tcPr>
            <w:tcW w:w="199" w:type="pct"/>
          </w:tcPr>
          <w:p w14:paraId="2105DAA1" w14:textId="68B98C6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26,097</w:t>
            </w:r>
          </w:p>
        </w:tc>
        <w:tc>
          <w:tcPr>
            <w:tcW w:w="199" w:type="pct"/>
          </w:tcPr>
          <w:p w14:paraId="78A10789" w14:textId="4B9B279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22,918</w:t>
            </w:r>
          </w:p>
        </w:tc>
        <w:tc>
          <w:tcPr>
            <w:tcW w:w="199" w:type="pct"/>
          </w:tcPr>
          <w:p w14:paraId="54AB03AF" w14:textId="1F86401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8,586</w:t>
            </w:r>
          </w:p>
        </w:tc>
        <w:tc>
          <w:tcPr>
            <w:tcW w:w="199" w:type="pct"/>
          </w:tcPr>
          <w:p w14:paraId="3FB94696" w14:textId="088BB81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7,717</w:t>
            </w:r>
          </w:p>
        </w:tc>
        <w:tc>
          <w:tcPr>
            <w:tcW w:w="199" w:type="pct"/>
          </w:tcPr>
          <w:p w14:paraId="41D5C58E" w14:textId="66F1826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7,717</w:t>
            </w:r>
          </w:p>
        </w:tc>
        <w:tc>
          <w:tcPr>
            <w:tcW w:w="199" w:type="pct"/>
          </w:tcPr>
          <w:p w14:paraId="4108A2FD" w14:textId="62C47EF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7,432</w:t>
            </w:r>
          </w:p>
        </w:tc>
        <w:tc>
          <w:tcPr>
            <w:tcW w:w="199" w:type="pct"/>
          </w:tcPr>
          <w:p w14:paraId="0361ABEA" w14:textId="23EDA70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790</w:t>
            </w:r>
          </w:p>
        </w:tc>
        <w:tc>
          <w:tcPr>
            <w:tcW w:w="192" w:type="pct"/>
          </w:tcPr>
          <w:p w14:paraId="51FF49E5" w14:textId="6F2D899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600</w:t>
            </w:r>
          </w:p>
        </w:tc>
      </w:tr>
      <w:tr w:rsidR="00F8548D" w14:paraId="27D5A76C" w14:textId="49C2A877"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B2C55F5" w14:textId="474FDFDA" w:rsidR="00F8548D" w:rsidRDefault="00F8548D" w:rsidP="00F8548D">
            <w:pPr>
              <w:pStyle w:val="TableLeftText"/>
            </w:pPr>
            <w:r>
              <w:rPr>
                <w:color w:val="4A4D56"/>
              </w:rPr>
              <w:t>Income Qualified Initiative - Single Family Offerings</w:t>
            </w:r>
          </w:p>
        </w:tc>
        <w:tc>
          <w:tcPr>
            <w:tcW w:w="151" w:type="pct"/>
          </w:tcPr>
          <w:p w14:paraId="1EEA86AD" w14:textId="5D557AF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15.3</w:t>
            </w:r>
          </w:p>
        </w:tc>
        <w:tc>
          <w:tcPr>
            <w:tcW w:w="355" w:type="pct"/>
          </w:tcPr>
          <w:p w14:paraId="263D5944" w14:textId="335C60D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6,972</w:t>
            </w:r>
          </w:p>
        </w:tc>
        <w:tc>
          <w:tcPr>
            <w:tcW w:w="161" w:type="pct"/>
          </w:tcPr>
          <w:p w14:paraId="1A9644F2" w14:textId="79FB76D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11DFB715" w14:textId="5A74085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6,971</w:t>
            </w:r>
          </w:p>
        </w:tc>
        <w:tc>
          <w:tcPr>
            <w:tcW w:w="199" w:type="pct"/>
          </w:tcPr>
          <w:p w14:paraId="4E7F58D3" w14:textId="727BC31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6,971</w:t>
            </w:r>
          </w:p>
        </w:tc>
        <w:tc>
          <w:tcPr>
            <w:tcW w:w="199" w:type="pct"/>
          </w:tcPr>
          <w:p w14:paraId="067F7956" w14:textId="3A23797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6,971</w:t>
            </w:r>
          </w:p>
        </w:tc>
        <w:tc>
          <w:tcPr>
            <w:tcW w:w="199" w:type="pct"/>
          </w:tcPr>
          <w:p w14:paraId="635E942F" w14:textId="45DC086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6,970</w:t>
            </w:r>
          </w:p>
        </w:tc>
        <w:tc>
          <w:tcPr>
            <w:tcW w:w="199" w:type="pct"/>
          </w:tcPr>
          <w:p w14:paraId="3E67B4E7" w14:textId="5B6474D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6,970</w:t>
            </w:r>
          </w:p>
        </w:tc>
        <w:tc>
          <w:tcPr>
            <w:tcW w:w="199" w:type="pct"/>
          </w:tcPr>
          <w:p w14:paraId="2B93D5FD" w14:textId="3F6F0A7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6,970</w:t>
            </w:r>
          </w:p>
        </w:tc>
        <w:tc>
          <w:tcPr>
            <w:tcW w:w="199" w:type="pct"/>
          </w:tcPr>
          <w:p w14:paraId="61851D1B" w14:textId="53BCE20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6,161</w:t>
            </w:r>
          </w:p>
        </w:tc>
        <w:tc>
          <w:tcPr>
            <w:tcW w:w="199" w:type="pct"/>
          </w:tcPr>
          <w:p w14:paraId="4ABA789D" w14:textId="549DC5C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5,835</w:t>
            </w:r>
          </w:p>
        </w:tc>
        <w:tc>
          <w:tcPr>
            <w:tcW w:w="199" w:type="pct"/>
          </w:tcPr>
          <w:p w14:paraId="6EB1F6C6" w14:textId="3D77EAC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5,171</w:t>
            </w:r>
          </w:p>
        </w:tc>
        <w:tc>
          <w:tcPr>
            <w:tcW w:w="199" w:type="pct"/>
          </w:tcPr>
          <w:p w14:paraId="3C54FEAB" w14:textId="3DD880B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4,430</w:t>
            </w:r>
          </w:p>
        </w:tc>
        <w:tc>
          <w:tcPr>
            <w:tcW w:w="199" w:type="pct"/>
          </w:tcPr>
          <w:p w14:paraId="23BABFF6" w14:textId="39D12C1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4,034</w:t>
            </w:r>
          </w:p>
        </w:tc>
        <w:tc>
          <w:tcPr>
            <w:tcW w:w="199" w:type="pct"/>
          </w:tcPr>
          <w:p w14:paraId="4E63120A" w14:textId="685A1F3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3,406</w:t>
            </w:r>
          </w:p>
        </w:tc>
        <w:tc>
          <w:tcPr>
            <w:tcW w:w="199" w:type="pct"/>
          </w:tcPr>
          <w:p w14:paraId="49B7E306" w14:textId="2DD9257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3,397</w:t>
            </w:r>
          </w:p>
        </w:tc>
        <w:tc>
          <w:tcPr>
            <w:tcW w:w="199" w:type="pct"/>
          </w:tcPr>
          <w:p w14:paraId="2E8D2B68" w14:textId="643394F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3,397</w:t>
            </w:r>
          </w:p>
        </w:tc>
        <w:tc>
          <w:tcPr>
            <w:tcW w:w="199" w:type="pct"/>
          </w:tcPr>
          <w:p w14:paraId="78C70088" w14:textId="2AA17AE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3,397</w:t>
            </w:r>
          </w:p>
        </w:tc>
        <w:tc>
          <w:tcPr>
            <w:tcW w:w="199" w:type="pct"/>
          </w:tcPr>
          <w:p w14:paraId="056C53C0" w14:textId="1D1A97A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2,977</w:t>
            </w:r>
          </w:p>
        </w:tc>
        <w:tc>
          <w:tcPr>
            <w:tcW w:w="192" w:type="pct"/>
          </w:tcPr>
          <w:p w14:paraId="4BC5B007" w14:textId="2038F20F"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1,543</w:t>
            </w:r>
          </w:p>
        </w:tc>
      </w:tr>
      <w:tr w:rsidR="00F8548D" w14:paraId="7572603E" w14:textId="79FECB5D"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A849654" w14:textId="5E4B985E" w:rsidR="00F8548D" w:rsidRDefault="00F8548D" w:rsidP="00F8548D">
            <w:pPr>
              <w:pStyle w:val="TableLeftText"/>
            </w:pPr>
            <w:r>
              <w:rPr>
                <w:color w:val="4A4D56"/>
              </w:rPr>
              <w:t>Multifamily Initiatives</w:t>
            </w:r>
          </w:p>
        </w:tc>
        <w:tc>
          <w:tcPr>
            <w:tcW w:w="151" w:type="pct"/>
          </w:tcPr>
          <w:p w14:paraId="5B87E1EA" w14:textId="3F0AD71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13.0</w:t>
            </w:r>
          </w:p>
        </w:tc>
        <w:tc>
          <w:tcPr>
            <w:tcW w:w="355" w:type="pct"/>
          </w:tcPr>
          <w:p w14:paraId="06F2C034" w14:textId="1DE9939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14,665</w:t>
            </w:r>
          </w:p>
        </w:tc>
        <w:tc>
          <w:tcPr>
            <w:tcW w:w="161" w:type="pct"/>
          </w:tcPr>
          <w:p w14:paraId="29C4377A" w14:textId="24D0280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0.993</w:t>
            </w:r>
          </w:p>
        </w:tc>
        <w:tc>
          <w:tcPr>
            <w:tcW w:w="199" w:type="pct"/>
          </w:tcPr>
          <w:p w14:paraId="6790F9B7" w14:textId="0D09E05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3FC8DCBD" w14:textId="7CBB267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17C910C9" w14:textId="6F43688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1795A57F" w14:textId="22DAB1E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62FAAEA2" w14:textId="14E8382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460A7137" w14:textId="537DF62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14,558</w:t>
            </w:r>
          </w:p>
        </w:tc>
        <w:tc>
          <w:tcPr>
            <w:tcW w:w="199" w:type="pct"/>
          </w:tcPr>
          <w:p w14:paraId="19A62832" w14:textId="3DBC473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14,288</w:t>
            </w:r>
          </w:p>
        </w:tc>
        <w:tc>
          <w:tcPr>
            <w:tcW w:w="199" w:type="pct"/>
          </w:tcPr>
          <w:p w14:paraId="1660B825" w14:textId="771669E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13,970</w:t>
            </w:r>
          </w:p>
        </w:tc>
        <w:tc>
          <w:tcPr>
            <w:tcW w:w="199" w:type="pct"/>
          </w:tcPr>
          <w:p w14:paraId="17851CD7" w14:textId="521CA57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12,854</w:t>
            </w:r>
          </w:p>
        </w:tc>
        <w:tc>
          <w:tcPr>
            <w:tcW w:w="199" w:type="pct"/>
          </w:tcPr>
          <w:p w14:paraId="68B01CD3" w14:textId="6D41928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11,659</w:t>
            </w:r>
          </w:p>
        </w:tc>
        <w:tc>
          <w:tcPr>
            <w:tcW w:w="199" w:type="pct"/>
          </w:tcPr>
          <w:p w14:paraId="474EB7BF" w14:textId="1DCD0C9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9,183</w:t>
            </w:r>
          </w:p>
        </w:tc>
        <w:tc>
          <w:tcPr>
            <w:tcW w:w="199" w:type="pct"/>
          </w:tcPr>
          <w:p w14:paraId="31EC0636" w14:textId="54466C5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6,831</w:t>
            </w:r>
          </w:p>
        </w:tc>
        <w:tc>
          <w:tcPr>
            <w:tcW w:w="199" w:type="pct"/>
          </w:tcPr>
          <w:p w14:paraId="46B707B4" w14:textId="09A579E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6,831</w:t>
            </w:r>
          </w:p>
        </w:tc>
        <w:tc>
          <w:tcPr>
            <w:tcW w:w="199" w:type="pct"/>
          </w:tcPr>
          <w:p w14:paraId="76AF662B" w14:textId="258B122D"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6,831</w:t>
            </w:r>
          </w:p>
        </w:tc>
        <w:tc>
          <w:tcPr>
            <w:tcW w:w="199" w:type="pct"/>
          </w:tcPr>
          <w:p w14:paraId="41EF8166" w14:textId="696674D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6,831</w:t>
            </w:r>
          </w:p>
        </w:tc>
        <w:tc>
          <w:tcPr>
            <w:tcW w:w="199" w:type="pct"/>
          </w:tcPr>
          <w:p w14:paraId="1C43F09C" w14:textId="29515F2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6,425</w:t>
            </w:r>
          </w:p>
        </w:tc>
        <w:tc>
          <w:tcPr>
            <w:tcW w:w="192" w:type="pct"/>
          </w:tcPr>
          <w:p w14:paraId="3ECCB249" w14:textId="31BBEFD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386</w:t>
            </w:r>
          </w:p>
        </w:tc>
      </w:tr>
      <w:tr w:rsidR="00F8548D" w14:paraId="4227D5F7" w14:textId="4DE06BF7"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3FE326FB" w14:textId="152136C0" w:rsidR="00F8548D" w:rsidRDefault="00F8548D" w:rsidP="00F8548D">
            <w:pPr>
              <w:pStyle w:val="TableLeftText"/>
            </w:pPr>
            <w:r>
              <w:rPr>
                <w:color w:val="4A4D56"/>
              </w:rPr>
              <w:t>Market Rate Single Family Initiative</w:t>
            </w:r>
          </w:p>
        </w:tc>
        <w:tc>
          <w:tcPr>
            <w:tcW w:w="151" w:type="pct"/>
          </w:tcPr>
          <w:p w14:paraId="085B39C9" w14:textId="609D61E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16.1</w:t>
            </w:r>
          </w:p>
        </w:tc>
        <w:tc>
          <w:tcPr>
            <w:tcW w:w="355" w:type="pct"/>
          </w:tcPr>
          <w:p w14:paraId="2EC49C40" w14:textId="10C192F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11,492</w:t>
            </w:r>
          </w:p>
        </w:tc>
        <w:tc>
          <w:tcPr>
            <w:tcW w:w="161" w:type="pct"/>
          </w:tcPr>
          <w:p w14:paraId="47AB20FC" w14:textId="6D2FE27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0.780</w:t>
            </w:r>
          </w:p>
        </w:tc>
        <w:tc>
          <w:tcPr>
            <w:tcW w:w="199" w:type="pct"/>
          </w:tcPr>
          <w:p w14:paraId="0B1D464E" w14:textId="545ADC5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7D1EE13E" w14:textId="5FA6E1B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24B40F98" w14:textId="507F06E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2AC70EAA" w14:textId="56E3434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318A5E6F" w14:textId="7A3405F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24559787" w14:textId="1ACA9EDD"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02A2C94C" w14:textId="495A67F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3A112560" w14:textId="17FEB68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3ED3B9A1" w14:textId="36EED14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5B853997" w14:textId="7F8117D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8,964</w:t>
            </w:r>
          </w:p>
        </w:tc>
        <w:tc>
          <w:tcPr>
            <w:tcW w:w="199" w:type="pct"/>
          </w:tcPr>
          <w:p w14:paraId="20FF4979" w14:textId="606F40E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8,949</w:t>
            </w:r>
          </w:p>
        </w:tc>
        <w:tc>
          <w:tcPr>
            <w:tcW w:w="199" w:type="pct"/>
          </w:tcPr>
          <w:p w14:paraId="7CB264D8" w14:textId="51D6C8D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8,639</w:t>
            </w:r>
          </w:p>
        </w:tc>
        <w:tc>
          <w:tcPr>
            <w:tcW w:w="199" w:type="pct"/>
          </w:tcPr>
          <w:p w14:paraId="62D3B405" w14:textId="28834A4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8,639</w:t>
            </w:r>
          </w:p>
        </w:tc>
        <w:tc>
          <w:tcPr>
            <w:tcW w:w="199" w:type="pct"/>
          </w:tcPr>
          <w:p w14:paraId="6EADFFE7" w14:textId="083402E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8,639</w:t>
            </w:r>
          </w:p>
        </w:tc>
        <w:tc>
          <w:tcPr>
            <w:tcW w:w="199" w:type="pct"/>
          </w:tcPr>
          <w:p w14:paraId="243F23D3" w14:textId="66E40C9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8,639</w:t>
            </w:r>
          </w:p>
        </w:tc>
        <w:tc>
          <w:tcPr>
            <w:tcW w:w="199" w:type="pct"/>
          </w:tcPr>
          <w:p w14:paraId="254E2680" w14:textId="5460E43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8,170</w:t>
            </w:r>
          </w:p>
        </w:tc>
        <w:tc>
          <w:tcPr>
            <w:tcW w:w="192" w:type="pct"/>
          </w:tcPr>
          <w:p w14:paraId="359ACD94" w14:textId="24204D4E"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944</w:t>
            </w:r>
          </w:p>
        </w:tc>
      </w:tr>
      <w:tr w:rsidR="00F8548D" w14:paraId="02117C3D" w14:textId="0ECD815B"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0D4839ED" w14:textId="363E2D1B" w:rsidR="00F8548D" w:rsidRDefault="00F8548D" w:rsidP="00F8548D">
            <w:pPr>
              <w:pStyle w:val="TableLeftText"/>
            </w:pPr>
            <w:r>
              <w:rPr>
                <w:color w:val="4A4D56"/>
              </w:rPr>
              <w:t>Kits Initiatives</w:t>
            </w:r>
          </w:p>
        </w:tc>
        <w:tc>
          <w:tcPr>
            <w:tcW w:w="151" w:type="pct"/>
          </w:tcPr>
          <w:p w14:paraId="26E300BB" w14:textId="6110268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355" w:type="pct"/>
          </w:tcPr>
          <w:p w14:paraId="6D9FD248" w14:textId="43A2081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13,789</w:t>
            </w:r>
          </w:p>
        </w:tc>
        <w:tc>
          <w:tcPr>
            <w:tcW w:w="161" w:type="pct"/>
          </w:tcPr>
          <w:p w14:paraId="275317E2" w14:textId="3A1D436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1.000</w:t>
            </w:r>
          </w:p>
        </w:tc>
        <w:tc>
          <w:tcPr>
            <w:tcW w:w="199" w:type="pct"/>
          </w:tcPr>
          <w:p w14:paraId="39C7F92A" w14:textId="3B84E28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13,789</w:t>
            </w:r>
          </w:p>
        </w:tc>
        <w:tc>
          <w:tcPr>
            <w:tcW w:w="199" w:type="pct"/>
          </w:tcPr>
          <w:p w14:paraId="47AEA5B6" w14:textId="38EBD63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13,789</w:t>
            </w:r>
          </w:p>
        </w:tc>
        <w:tc>
          <w:tcPr>
            <w:tcW w:w="199" w:type="pct"/>
          </w:tcPr>
          <w:p w14:paraId="12180EB6" w14:textId="7F1A38B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12,825</w:t>
            </w:r>
          </w:p>
        </w:tc>
        <w:tc>
          <w:tcPr>
            <w:tcW w:w="199" w:type="pct"/>
          </w:tcPr>
          <w:p w14:paraId="3FF91C8E" w14:textId="4F351A8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12,825</w:t>
            </w:r>
          </w:p>
        </w:tc>
        <w:tc>
          <w:tcPr>
            <w:tcW w:w="199" w:type="pct"/>
          </w:tcPr>
          <w:p w14:paraId="52C95584" w14:textId="437D18D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12,825</w:t>
            </w:r>
          </w:p>
        </w:tc>
        <w:tc>
          <w:tcPr>
            <w:tcW w:w="199" w:type="pct"/>
          </w:tcPr>
          <w:p w14:paraId="10E2924E" w14:textId="7A6B0947"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12,825</w:t>
            </w:r>
          </w:p>
        </w:tc>
        <w:tc>
          <w:tcPr>
            <w:tcW w:w="199" w:type="pct"/>
          </w:tcPr>
          <w:p w14:paraId="5F137CA5" w14:textId="4E03C35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12,825</w:t>
            </w:r>
          </w:p>
        </w:tc>
        <w:tc>
          <w:tcPr>
            <w:tcW w:w="199" w:type="pct"/>
          </w:tcPr>
          <w:p w14:paraId="09A1BCA2" w14:textId="3221D2A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11,241</w:t>
            </w:r>
          </w:p>
        </w:tc>
        <w:tc>
          <w:tcPr>
            <w:tcW w:w="199" w:type="pct"/>
          </w:tcPr>
          <w:p w14:paraId="1CCE3B8A" w14:textId="0E57DD8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6,280</w:t>
            </w:r>
          </w:p>
        </w:tc>
        <w:tc>
          <w:tcPr>
            <w:tcW w:w="199" w:type="pct"/>
          </w:tcPr>
          <w:p w14:paraId="2ECEE8D0" w14:textId="708200D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6,280</w:t>
            </w:r>
          </w:p>
        </w:tc>
        <w:tc>
          <w:tcPr>
            <w:tcW w:w="199" w:type="pct"/>
          </w:tcPr>
          <w:p w14:paraId="52C63892" w14:textId="5753BF4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1,477</w:t>
            </w:r>
          </w:p>
        </w:tc>
        <w:tc>
          <w:tcPr>
            <w:tcW w:w="199" w:type="pct"/>
          </w:tcPr>
          <w:p w14:paraId="19751E0C" w14:textId="426FEE4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1,477</w:t>
            </w:r>
          </w:p>
        </w:tc>
        <w:tc>
          <w:tcPr>
            <w:tcW w:w="199" w:type="pct"/>
          </w:tcPr>
          <w:p w14:paraId="3D0E6024" w14:textId="6DC54F9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1,477</w:t>
            </w:r>
          </w:p>
        </w:tc>
        <w:tc>
          <w:tcPr>
            <w:tcW w:w="199" w:type="pct"/>
          </w:tcPr>
          <w:p w14:paraId="6B8B1E3E" w14:textId="0989DECA"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1,477</w:t>
            </w:r>
          </w:p>
        </w:tc>
        <w:tc>
          <w:tcPr>
            <w:tcW w:w="199" w:type="pct"/>
          </w:tcPr>
          <w:p w14:paraId="53141035" w14:textId="41CADA9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1,477</w:t>
            </w:r>
          </w:p>
        </w:tc>
        <w:tc>
          <w:tcPr>
            <w:tcW w:w="199" w:type="pct"/>
          </w:tcPr>
          <w:p w14:paraId="43BE9972" w14:textId="474D94A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w:t>
            </w:r>
          </w:p>
        </w:tc>
        <w:tc>
          <w:tcPr>
            <w:tcW w:w="192" w:type="pct"/>
          </w:tcPr>
          <w:p w14:paraId="7CE84AAF" w14:textId="064D01F2"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1,017</w:t>
            </w:r>
          </w:p>
        </w:tc>
      </w:tr>
      <w:tr w:rsidR="00F8548D" w14:paraId="3C369E87" w14:textId="7686187A"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3D7F11F" w14:textId="0A5537FC" w:rsidR="00F8548D" w:rsidRDefault="00F8548D" w:rsidP="00F8548D">
            <w:pPr>
              <w:pStyle w:val="TableLeftText"/>
            </w:pPr>
            <w:r>
              <w:rPr>
                <w:color w:val="4A4D56"/>
              </w:rPr>
              <w:t>Residential Carryover</w:t>
            </w:r>
          </w:p>
        </w:tc>
        <w:tc>
          <w:tcPr>
            <w:tcW w:w="151" w:type="pct"/>
          </w:tcPr>
          <w:p w14:paraId="3E4A1E9C" w14:textId="0FAFB99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9.7</w:t>
            </w:r>
          </w:p>
        </w:tc>
        <w:tc>
          <w:tcPr>
            <w:tcW w:w="355" w:type="pct"/>
          </w:tcPr>
          <w:p w14:paraId="3C852A41" w14:textId="636F69E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10,264</w:t>
            </w:r>
          </w:p>
        </w:tc>
        <w:tc>
          <w:tcPr>
            <w:tcW w:w="161" w:type="pct"/>
          </w:tcPr>
          <w:p w14:paraId="5BB2C273" w14:textId="443FE9B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0.813</w:t>
            </w:r>
          </w:p>
        </w:tc>
        <w:tc>
          <w:tcPr>
            <w:tcW w:w="199" w:type="pct"/>
          </w:tcPr>
          <w:p w14:paraId="73DA9083" w14:textId="4D717E9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8,347</w:t>
            </w:r>
          </w:p>
        </w:tc>
        <w:tc>
          <w:tcPr>
            <w:tcW w:w="199" w:type="pct"/>
          </w:tcPr>
          <w:p w14:paraId="22E6F085" w14:textId="65CFFFF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8,347</w:t>
            </w:r>
          </w:p>
        </w:tc>
        <w:tc>
          <w:tcPr>
            <w:tcW w:w="199" w:type="pct"/>
          </w:tcPr>
          <w:p w14:paraId="10A5ECC5" w14:textId="2896B98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8,347</w:t>
            </w:r>
          </w:p>
        </w:tc>
        <w:tc>
          <w:tcPr>
            <w:tcW w:w="199" w:type="pct"/>
          </w:tcPr>
          <w:p w14:paraId="4878FBDC" w14:textId="2AC1481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8,347</w:t>
            </w:r>
          </w:p>
        </w:tc>
        <w:tc>
          <w:tcPr>
            <w:tcW w:w="199" w:type="pct"/>
          </w:tcPr>
          <w:p w14:paraId="64630CE6" w14:textId="4088B8D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6,351</w:t>
            </w:r>
          </w:p>
        </w:tc>
        <w:tc>
          <w:tcPr>
            <w:tcW w:w="199" w:type="pct"/>
          </w:tcPr>
          <w:p w14:paraId="46F2B590" w14:textId="6A6F576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6,206</w:t>
            </w:r>
          </w:p>
        </w:tc>
        <w:tc>
          <w:tcPr>
            <w:tcW w:w="199" w:type="pct"/>
          </w:tcPr>
          <w:p w14:paraId="682C1F44" w14:textId="48A7D61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6,139</w:t>
            </w:r>
          </w:p>
        </w:tc>
        <w:tc>
          <w:tcPr>
            <w:tcW w:w="199" w:type="pct"/>
          </w:tcPr>
          <w:p w14:paraId="7FB85841" w14:textId="038704B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4,998</w:t>
            </w:r>
          </w:p>
        </w:tc>
        <w:tc>
          <w:tcPr>
            <w:tcW w:w="199" w:type="pct"/>
          </w:tcPr>
          <w:p w14:paraId="5E1EACAC" w14:textId="35F3E9B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4,944</w:t>
            </w:r>
          </w:p>
        </w:tc>
        <w:tc>
          <w:tcPr>
            <w:tcW w:w="199" w:type="pct"/>
          </w:tcPr>
          <w:p w14:paraId="59D33473" w14:textId="34CBB25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4,944</w:t>
            </w:r>
          </w:p>
        </w:tc>
        <w:tc>
          <w:tcPr>
            <w:tcW w:w="199" w:type="pct"/>
          </w:tcPr>
          <w:p w14:paraId="1690042F" w14:textId="60958C9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w:t>
            </w:r>
          </w:p>
        </w:tc>
        <w:tc>
          <w:tcPr>
            <w:tcW w:w="199" w:type="pct"/>
          </w:tcPr>
          <w:p w14:paraId="2DFD41D6" w14:textId="0596205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w:t>
            </w:r>
          </w:p>
        </w:tc>
        <w:tc>
          <w:tcPr>
            <w:tcW w:w="199" w:type="pct"/>
          </w:tcPr>
          <w:p w14:paraId="67D38283" w14:textId="5E7AFA5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w:t>
            </w:r>
          </w:p>
        </w:tc>
        <w:tc>
          <w:tcPr>
            <w:tcW w:w="199" w:type="pct"/>
          </w:tcPr>
          <w:p w14:paraId="3842B847" w14:textId="5BDBDE56"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w:t>
            </w:r>
          </w:p>
        </w:tc>
        <w:tc>
          <w:tcPr>
            <w:tcW w:w="199" w:type="pct"/>
          </w:tcPr>
          <w:p w14:paraId="72A449B7" w14:textId="5C5A932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57</w:t>
            </w:r>
          </w:p>
        </w:tc>
        <w:tc>
          <w:tcPr>
            <w:tcW w:w="199" w:type="pct"/>
          </w:tcPr>
          <w:p w14:paraId="23ACEE17" w14:textId="37215D9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1165F8BC" w14:textId="16105156"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7C856CEC" w14:textId="1003F3E1"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66C8766" w14:textId="0251637E" w:rsidR="00F8548D" w:rsidRDefault="00F8548D" w:rsidP="00F8548D">
            <w:pPr>
              <w:pStyle w:val="TableLeftText"/>
            </w:pPr>
            <w:r>
              <w:rPr>
                <w:color w:val="4A4D56"/>
              </w:rPr>
              <w:t>Residential NPSO</w:t>
            </w:r>
          </w:p>
        </w:tc>
        <w:tc>
          <w:tcPr>
            <w:tcW w:w="151" w:type="pct"/>
          </w:tcPr>
          <w:p w14:paraId="5C930C2D" w14:textId="62F6D16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12.2</w:t>
            </w:r>
          </w:p>
        </w:tc>
        <w:tc>
          <w:tcPr>
            <w:tcW w:w="355" w:type="pct"/>
          </w:tcPr>
          <w:p w14:paraId="1046F610" w14:textId="31CD0D4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61" w:type="pct"/>
          </w:tcPr>
          <w:p w14:paraId="0D5A83E1" w14:textId="2284207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0.796</w:t>
            </w:r>
          </w:p>
        </w:tc>
        <w:tc>
          <w:tcPr>
            <w:tcW w:w="199" w:type="pct"/>
          </w:tcPr>
          <w:p w14:paraId="64820DD3" w14:textId="0C7165B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99" w:type="pct"/>
          </w:tcPr>
          <w:p w14:paraId="6C59559B" w14:textId="64714E2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99" w:type="pct"/>
          </w:tcPr>
          <w:p w14:paraId="3A36021C" w14:textId="0EA7C09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99" w:type="pct"/>
          </w:tcPr>
          <w:p w14:paraId="44FBCE1A" w14:textId="739D36C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99" w:type="pct"/>
          </w:tcPr>
          <w:p w14:paraId="0B1EA4CC" w14:textId="70288EF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839</w:t>
            </w:r>
          </w:p>
        </w:tc>
        <w:tc>
          <w:tcPr>
            <w:tcW w:w="199" w:type="pct"/>
          </w:tcPr>
          <w:p w14:paraId="31A4E86C" w14:textId="3650A3A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833</w:t>
            </w:r>
          </w:p>
        </w:tc>
        <w:tc>
          <w:tcPr>
            <w:tcW w:w="199" w:type="pct"/>
          </w:tcPr>
          <w:p w14:paraId="1E75478F" w14:textId="4F06600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831</w:t>
            </w:r>
          </w:p>
        </w:tc>
        <w:tc>
          <w:tcPr>
            <w:tcW w:w="199" w:type="pct"/>
          </w:tcPr>
          <w:p w14:paraId="14470800" w14:textId="3AC0BE5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770</w:t>
            </w:r>
          </w:p>
        </w:tc>
        <w:tc>
          <w:tcPr>
            <w:tcW w:w="199" w:type="pct"/>
          </w:tcPr>
          <w:p w14:paraId="040AB3AE" w14:textId="587977B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755</w:t>
            </w:r>
          </w:p>
        </w:tc>
        <w:tc>
          <w:tcPr>
            <w:tcW w:w="199" w:type="pct"/>
          </w:tcPr>
          <w:p w14:paraId="299BDF39" w14:textId="41407E9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719</w:t>
            </w:r>
          </w:p>
        </w:tc>
        <w:tc>
          <w:tcPr>
            <w:tcW w:w="199" w:type="pct"/>
          </w:tcPr>
          <w:p w14:paraId="5BCF4C59" w14:textId="701850B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652</w:t>
            </w:r>
          </w:p>
        </w:tc>
        <w:tc>
          <w:tcPr>
            <w:tcW w:w="199" w:type="pct"/>
          </w:tcPr>
          <w:p w14:paraId="3AB0C67A" w14:textId="4078362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312</w:t>
            </w:r>
          </w:p>
        </w:tc>
        <w:tc>
          <w:tcPr>
            <w:tcW w:w="199" w:type="pct"/>
          </w:tcPr>
          <w:p w14:paraId="2ABB0F7D" w14:textId="44BF62B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w:t>
            </w:r>
          </w:p>
        </w:tc>
        <w:tc>
          <w:tcPr>
            <w:tcW w:w="199" w:type="pct"/>
          </w:tcPr>
          <w:p w14:paraId="654DE7BA" w14:textId="5175783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w:t>
            </w:r>
          </w:p>
        </w:tc>
        <w:tc>
          <w:tcPr>
            <w:tcW w:w="199" w:type="pct"/>
          </w:tcPr>
          <w:p w14:paraId="78BFC90C" w14:textId="750E6DE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290</w:t>
            </w:r>
          </w:p>
        </w:tc>
        <w:tc>
          <w:tcPr>
            <w:tcW w:w="199" w:type="pct"/>
          </w:tcPr>
          <w:p w14:paraId="7090C293" w14:textId="679702F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236</w:t>
            </w:r>
          </w:p>
        </w:tc>
        <w:tc>
          <w:tcPr>
            <w:tcW w:w="192" w:type="pct"/>
          </w:tcPr>
          <w:p w14:paraId="02AFBF55" w14:textId="2759A788"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38</w:t>
            </w:r>
          </w:p>
        </w:tc>
      </w:tr>
      <w:tr w:rsidR="00F8548D" w14:paraId="77EE9808" w14:textId="2B4BC306"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5B08CC0" w14:textId="07627AF2" w:rsidR="00F8548D" w:rsidRDefault="00F8548D" w:rsidP="00F8548D">
            <w:pPr>
              <w:pStyle w:val="TableLeftText"/>
            </w:pPr>
            <w:r>
              <w:rPr>
                <w:color w:val="4A4D56"/>
              </w:rPr>
              <w:t>Standard Initiative</w:t>
            </w:r>
          </w:p>
        </w:tc>
        <w:tc>
          <w:tcPr>
            <w:tcW w:w="151" w:type="pct"/>
          </w:tcPr>
          <w:p w14:paraId="011474B3" w14:textId="41DF02E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12.8</w:t>
            </w:r>
          </w:p>
        </w:tc>
        <w:tc>
          <w:tcPr>
            <w:tcW w:w="355" w:type="pct"/>
          </w:tcPr>
          <w:p w14:paraId="08CDAD6E" w14:textId="237F00D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66,267</w:t>
            </w:r>
          </w:p>
        </w:tc>
        <w:tc>
          <w:tcPr>
            <w:tcW w:w="161" w:type="pct"/>
          </w:tcPr>
          <w:p w14:paraId="5583037E" w14:textId="5A4FA59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0.909</w:t>
            </w:r>
          </w:p>
        </w:tc>
        <w:tc>
          <w:tcPr>
            <w:tcW w:w="199" w:type="pct"/>
          </w:tcPr>
          <w:p w14:paraId="1E29D666" w14:textId="1097733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60,255</w:t>
            </w:r>
          </w:p>
        </w:tc>
        <w:tc>
          <w:tcPr>
            <w:tcW w:w="199" w:type="pct"/>
          </w:tcPr>
          <w:p w14:paraId="4612CC23" w14:textId="3B87FC7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60,255</w:t>
            </w:r>
          </w:p>
        </w:tc>
        <w:tc>
          <w:tcPr>
            <w:tcW w:w="199" w:type="pct"/>
          </w:tcPr>
          <w:p w14:paraId="5A2E46AF" w14:textId="4DD7566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60,237</w:t>
            </w:r>
          </w:p>
        </w:tc>
        <w:tc>
          <w:tcPr>
            <w:tcW w:w="199" w:type="pct"/>
          </w:tcPr>
          <w:p w14:paraId="3C5A9DF6" w14:textId="6A5939E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60,067</w:t>
            </w:r>
          </w:p>
        </w:tc>
        <w:tc>
          <w:tcPr>
            <w:tcW w:w="199" w:type="pct"/>
          </w:tcPr>
          <w:p w14:paraId="7B6ABFE7" w14:textId="0C43BA7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59,617</w:t>
            </w:r>
          </w:p>
        </w:tc>
        <w:tc>
          <w:tcPr>
            <w:tcW w:w="199" w:type="pct"/>
          </w:tcPr>
          <w:p w14:paraId="49510371" w14:textId="3BE13C3E"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59,347</w:t>
            </w:r>
          </w:p>
        </w:tc>
        <w:tc>
          <w:tcPr>
            <w:tcW w:w="199" w:type="pct"/>
          </w:tcPr>
          <w:p w14:paraId="43FDF013" w14:textId="4B09C3D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58,744</w:t>
            </w:r>
          </w:p>
        </w:tc>
        <w:tc>
          <w:tcPr>
            <w:tcW w:w="199" w:type="pct"/>
          </w:tcPr>
          <w:p w14:paraId="7FEFE390" w14:textId="2C5D18A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57,660</w:t>
            </w:r>
          </w:p>
        </w:tc>
        <w:tc>
          <w:tcPr>
            <w:tcW w:w="199" w:type="pct"/>
          </w:tcPr>
          <w:p w14:paraId="30FA0346" w14:textId="64CBAA6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52,794</w:t>
            </w:r>
          </w:p>
        </w:tc>
        <w:tc>
          <w:tcPr>
            <w:tcW w:w="199" w:type="pct"/>
          </w:tcPr>
          <w:p w14:paraId="025C66EE" w14:textId="680EACF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52,514</w:t>
            </w:r>
          </w:p>
        </w:tc>
        <w:tc>
          <w:tcPr>
            <w:tcW w:w="199" w:type="pct"/>
          </w:tcPr>
          <w:p w14:paraId="2DE56B6A" w14:textId="2FB43E5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49,980</w:t>
            </w:r>
          </w:p>
        </w:tc>
        <w:tc>
          <w:tcPr>
            <w:tcW w:w="199" w:type="pct"/>
          </w:tcPr>
          <w:p w14:paraId="555688C4" w14:textId="74DAAD2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40,938</w:t>
            </w:r>
          </w:p>
        </w:tc>
        <w:tc>
          <w:tcPr>
            <w:tcW w:w="199" w:type="pct"/>
          </w:tcPr>
          <w:p w14:paraId="73C9AE14" w14:textId="719F115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28,967</w:t>
            </w:r>
          </w:p>
        </w:tc>
        <w:tc>
          <w:tcPr>
            <w:tcW w:w="199" w:type="pct"/>
          </w:tcPr>
          <w:p w14:paraId="1B281E2B" w14:textId="2D923701"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27,601</w:t>
            </w:r>
          </w:p>
        </w:tc>
        <w:tc>
          <w:tcPr>
            <w:tcW w:w="199" w:type="pct"/>
          </w:tcPr>
          <w:p w14:paraId="6D1A167C" w14:textId="1BF17CB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27,171</w:t>
            </w:r>
          </w:p>
        </w:tc>
        <w:tc>
          <w:tcPr>
            <w:tcW w:w="199" w:type="pct"/>
          </w:tcPr>
          <w:p w14:paraId="1CDD7C19" w14:textId="23ABB69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4,041</w:t>
            </w:r>
          </w:p>
        </w:tc>
        <w:tc>
          <w:tcPr>
            <w:tcW w:w="192" w:type="pct"/>
          </w:tcPr>
          <w:p w14:paraId="148577EE" w14:textId="0D879FF0"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295</w:t>
            </w:r>
          </w:p>
        </w:tc>
      </w:tr>
      <w:tr w:rsidR="00F8548D" w14:paraId="53B17109" w14:textId="5F569929"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74B59A7" w14:textId="681342CC" w:rsidR="00F8548D" w:rsidRDefault="00F8548D" w:rsidP="00F8548D">
            <w:pPr>
              <w:pStyle w:val="TableLeftText"/>
            </w:pPr>
            <w:r>
              <w:rPr>
                <w:color w:val="4A4D56"/>
              </w:rPr>
              <w:t>Custom Initiative</w:t>
            </w:r>
          </w:p>
        </w:tc>
        <w:tc>
          <w:tcPr>
            <w:tcW w:w="151" w:type="pct"/>
          </w:tcPr>
          <w:p w14:paraId="40BB2120" w14:textId="3C90BD9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18.3</w:t>
            </w:r>
          </w:p>
        </w:tc>
        <w:tc>
          <w:tcPr>
            <w:tcW w:w="355" w:type="pct"/>
          </w:tcPr>
          <w:p w14:paraId="65F2B113" w14:textId="17C62FF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37,034</w:t>
            </w:r>
          </w:p>
        </w:tc>
        <w:tc>
          <w:tcPr>
            <w:tcW w:w="161" w:type="pct"/>
          </w:tcPr>
          <w:p w14:paraId="2A8007AF" w14:textId="292BA02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0.813</w:t>
            </w:r>
          </w:p>
        </w:tc>
        <w:tc>
          <w:tcPr>
            <w:tcW w:w="199" w:type="pct"/>
          </w:tcPr>
          <w:p w14:paraId="0CB39FFD" w14:textId="147095A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30,118</w:t>
            </w:r>
          </w:p>
        </w:tc>
        <w:tc>
          <w:tcPr>
            <w:tcW w:w="199" w:type="pct"/>
          </w:tcPr>
          <w:p w14:paraId="620D7776" w14:textId="4B9F84F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30,118</w:t>
            </w:r>
          </w:p>
        </w:tc>
        <w:tc>
          <w:tcPr>
            <w:tcW w:w="199" w:type="pct"/>
          </w:tcPr>
          <w:p w14:paraId="39ACDFCE" w14:textId="719890D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30,118</w:t>
            </w:r>
          </w:p>
        </w:tc>
        <w:tc>
          <w:tcPr>
            <w:tcW w:w="199" w:type="pct"/>
          </w:tcPr>
          <w:p w14:paraId="3812B7EE" w14:textId="60E6CB9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30,118</w:t>
            </w:r>
          </w:p>
        </w:tc>
        <w:tc>
          <w:tcPr>
            <w:tcW w:w="199" w:type="pct"/>
          </w:tcPr>
          <w:p w14:paraId="4126F3FC" w14:textId="1860957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30,118</w:t>
            </w:r>
          </w:p>
        </w:tc>
        <w:tc>
          <w:tcPr>
            <w:tcW w:w="199" w:type="pct"/>
          </w:tcPr>
          <w:p w14:paraId="0E6AF22D" w14:textId="10162BBA"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29,558</w:t>
            </w:r>
          </w:p>
        </w:tc>
        <w:tc>
          <w:tcPr>
            <w:tcW w:w="199" w:type="pct"/>
          </w:tcPr>
          <w:p w14:paraId="37D963D7" w14:textId="152ECC3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29,558</w:t>
            </w:r>
          </w:p>
        </w:tc>
        <w:tc>
          <w:tcPr>
            <w:tcW w:w="199" w:type="pct"/>
          </w:tcPr>
          <w:p w14:paraId="29D8117D" w14:textId="063AF16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29,558</w:t>
            </w:r>
          </w:p>
        </w:tc>
        <w:tc>
          <w:tcPr>
            <w:tcW w:w="199" w:type="pct"/>
          </w:tcPr>
          <w:p w14:paraId="6123AED7" w14:textId="060D4B0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29,121</w:t>
            </w:r>
          </w:p>
        </w:tc>
        <w:tc>
          <w:tcPr>
            <w:tcW w:w="199" w:type="pct"/>
          </w:tcPr>
          <w:p w14:paraId="30F7646B" w14:textId="5B0836D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29,015</w:t>
            </w:r>
          </w:p>
        </w:tc>
        <w:tc>
          <w:tcPr>
            <w:tcW w:w="199" w:type="pct"/>
          </w:tcPr>
          <w:p w14:paraId="1DD42F72" w14:textId="18429EC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29,000</w:t>
            </w:r>
          </w:p>
        </w:tc>
        <w:tc>
          <w:tcPr>
            <w:tcW w:w="199" w:type="pct"/>
          </w:tcPr>
          <w:p w14:paraId="702CE255" w14:textId="417D3E4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28,107</w:t>
            </w:r>
          </w:p>
        </w:tc>
        <w:tc>
          <w:tcPr>
            <w:tcW w:w="199" w:type="pct"/>
          </w:tcPr>
          <w:p w14:paraId="04F3C062" w14:textId="3160759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27,796</w:t>
            </w:r>
          </w:p>
        </w:tc>
        <w:tc>
          <w:tcPr>
            <w:tcW w:w="199" w:type="pct"/>
          </w:tcPr>
          <w:p w14:paraId="1628197D" w14:textId="6DEDCC08"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22,811</w:t>
            </w:r>
          </w:p>
        </w:tc>
        <w:tc>
          <w:tcPr>
            <w:tcW w:w="199" w:type="pct"/>
          </w:tcPr>
          <w:p w14:paraId="1B66987E" w14:textId="1DEEB8F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22,760</w:t>
            </w:r>
          </w:p>
        </w:tc>
        <w:tc>
          <w:tcPr>
            <w:tcW w:w="199" w:type="pct"/>
          </w:tcPr>
          <w:p w14:paraId="49F4E992" w14:textId="0B2F0DC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16,570</w:t>
            </w:r>
          </w:p>
        </w:tc>
        <w:tc>
          <w:tcPr>
            <w:tcW w:w="192" w:type="pct"/>
          </w:tcPr>
          <w:p w14:paraId="183EA079" w14:textId="273102DC"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15,516</w:t>
            </w:r>
          </w:p>
        </w:tc>
      </w:tr>
      <w:tr w:rsidR="00F8548D" w14:paraId="78E376CF" w14:textId="359F0EFC"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94A4ECB" w14:textId="45F67560" w:rsidR="00F8548D" w:rsidRDefault="00F8548D" w:rsidP="00F8548D">
            <w:pPr>
              <w:pStyle w:val="TableLeftText"/>
            </w:pPr>
            <w:r>
              <w:rPr>
                <w:color w:val="4A4D56"/>
              </w:rPr>
              <w:t>Retro-Commissioning Initiative</w:t>
            </w:r>
          </w:p>
        </w:tc>
        <w:tc>
          <w:tcPr>
            <w:tcW w:w="151" w:type="pct"/>
          </w:tcPr>
          <w:p w14:paraId="12BDAA80" w14:textId="09AAD3B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w:t>
            </w:r>
          </w:p>
        </w:tc>
        <w:tc>
          <w:tcPr>
            <w:tcW w:w="355" w:type="pct"/>
          </w:tcPr>
          <w:p w14:paraId="1142A16E" w14:textId="79885F5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7,618</w:t>
            </w:r>
          </w:p>
        </w:tc>
        <w:tc>
          <w:tcPr>
            <w:tcW w:w="161" w:type="pct"/>
          </w:tcPr>
          <w:p w14:paraId="4437C3E4" w14:textId="7FBE098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0.945</w:t>
            </w:r>
          </w:p>
        </w:tc>
        <w:tc>
          <w:tcPr>
            <w:tcW w:w="199" w:type="pct"/>
          </w:tcPr>
          <w:p w14:paraId="2A62CDE2" w14:textId="34D8C26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2B811897" w14:textId="7D52753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12992942" w14:textId="02028DC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18D078A2" w14:textId="71C5052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10B0A669" w14:textId="18F6397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63ECCF87" w14:textId="5718E43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0EE24F87" w14:textId="094E7DE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7,203</w:t>
            </w:r>
          </w:p>
        </w:tc>
        <w:tc>
          <w:tcPr>
            <w:tcW w:w="199" w:type="pct"/>
          </w:tcPr>
          <w:p w14:paraId="1B11AD96" w14:textId="0BECB94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3,123</w:t>
            </w:r>
          </w:p>
        </w:tc>
        <w:tc>
          <w:tcPr>
            <w:tcW w:w="199" w:type="pct"/>
          </w:tcPr>
          <w:p w14:paraId="103D082C" w14:textId="22F9806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1,038</w:t>
            </w:r>
          </w:p>
        </w:tc>
        <w:tc>
          <w:tcPr>
            <w:tcW w:w="199" w:type="pct"/>
          </w:tcPr>
          <w:p w14:paraId="106F27B3" w14:textId="6CE474B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352BBD9" w14:textId="57C338E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7FD21B0" w14:textId="087AC53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5023D11" w14:textId="6CB8FB4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1EDB719" w14:textId="269EA85F"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7963916" w14:textId="428ABA0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918D655" w14:textId="48B8F85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320EA8E6" w14:textId="7B1C7BC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0CF47674" w14:textId="777240BD"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951CDAC" w14:textId="1B01B64C" w:rsidR="00F8548D" w:rsidRDefault="00F8548D" w:rsidP="00F8548D">
            <w:pPr>
              <w:pStyle w:val="TableLeftText"/>
            </w:pPr>
            <w:r>
              <w:rPr>
                <w:color w:val="4A4D56"/>
              </w:rPr>
              <w:t>Streetlighting Initiative</w:t>
            </w:r>
          </w:p>
        </w:tc>
        <w:tc>
          <w:tcPr>
            <w:tcW w:w="151" w:type="pct"/>
          </w:tcPr>
          <w:p w14:paraId="624C1DAB" w14:textId="3880958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20.0</w:t>
            </w:r>
          </w:p>
        </w:tc>
        <w:tc>
          <w:tcPr>
            <w:tcW w:w="355" w:type="pct"/>
          </w:tcPr>
          <w:p w14:paraId="1D1B0F53" w14:textId="37F51DE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12,566</w:t>
            </w:r>
          </w:p>
        </w:tc>
        <w:tc>
          <w:tcPr>
            <w:tcW w:w="161" w:type="pct"/>
          </w:tcPr>
          <w:p w14:paraId="3227B3B4" w14:textId="51891A2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0.999</w:t>
            </w:r>
          </w:p>
        </w:tc>
        <w:tc>
          <w:tcPr>
            <w:tcW w:w="199" w:type="pct"/>
          </w:tcPr>
          <w:p w14:paraId="3825BDFC" w14:textId="60A8B22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12,551</w:t>
            </w:r>
          </w:p>
        </w:tc>
        <w:tc>
          <w:tcPr>
            <w:tcW w:w="199" w:type="pct"/>
          </w:tcPr>
          <w:p w14:paraId="1AF62BDD" w14:textId="041EFDC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12,551</w:t>
            </w:r>
          </w:p>
        </w:tc>
        <w:tc>
          <w:tcPr>
            <w:tcW w:w="199" w:type="pct"/>
          </w:tcPr>
          <w:p w14:paraId="70FD836A" w14:textId="048FD65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12,551</w:t>
            </w:r>
          </w:p>
        </w:tc>
        <w:tc>
          <w:tcPr>
            <w:tcW w:w="199" w:type="pct"/>
          </w:tcPr>
          <w:p w14:paraId="48A77A4F" w14:textId="302082F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C0C0BD4" w14:textId="1B6E1BE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52EA9C4" w14:textId="0EE4C05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7A33B7AA" w14:textId="0933F43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2D19F171" w14:textId="14112AD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750391E" w14:textId="644EF2C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3BAC0F29" w14:textId="79FC95F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2CE7AE0" w14:textId="007183A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64CBB31" w14:textId="5CB6C46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8B61C25" w14:textId="4A300AC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5D628D02" w14:textId="15C299A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28C87034" w14:textId="243A5FC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2C8532A4" w14:textId="215E198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2" w:type="pct"/>
          </w:tcPr>
          <w:p w14:paraId="752A93E9" w14:textId="3206A943"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11,851</w:t>
            </w:r>
          </w:p>
        </w:tc>
      </w:tr>
      <w:tr w:rsidR="00F8548D" w14:paraId="1CF97BDD" w14:textId="7D793838"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970EE73" w14:textId="2BBB53F5" w:rsidR="00F8548D" w:rsidRDefault="00F8548D" w:rsidP="00F8548D">
            <w:pPr>
              <w:pStyle w:val="TableLeftText"/>
            </w:pPr>
            <w:r>
              <w:rPr>
                <w:color w:val="4A4D56"/>
              </w:rPr>
              <w:t>Small Business Initiative</w:t>
            </w:r>
          </w:p>
        </w:tc>
        <w:tc>
          <w:tcPr>
            <w:tcW w:w="151" w:type="pct"/>
          </w:tcPr>
          <w:p w14:paraId="1C786EFF" w14:textId="13BD584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13.7</w:t>
            </w:r>
          </w:p>
        </w:tc>
        <w:tc>
          <w:tcPr>
            <w:tcW w:w="355" w:type="pct"/>
          </w:tcPr>
          <w:p w14:paraId="5346EF79" w14:textId="61F1982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35,240</w:t>
            </w:r>
          </w:p>
        </w:tc>
        <w:tc>
          <w:tcPr>
            <w:tcW w:w="161" w:type="pct"/>
          </w:tcPr>
          <w:p w14:paraId="635DCFB2" w14:textId="0C66042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0.917</w:t>
            </w:r>
          </w:p>
        </w:tc>
        <w:tc>
          <w:tcPr>
            <w:tcW w:w="199" w:type="pct"/>
          </w:tcPr>
          <w:p w14:paraId="20F5B83B" w14:textId="1ECC777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32,322</w:t>
            </w:r>
          </w:p>
        </w:tc>
        <w:tc>
          <w:tcPr>
            <w:tcW w:w="199" w:type="pct"/>
          </w:tcPr>
          <w:p w14:paraId="0DA97DBD" w14:textId="538C9D7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32,322</w:t>
            </w:r>
          </w:p>
        </w:tc>
        <w:tc>
          <w:tcPr>
            <w:tcW w:w="199" w:type="pct"/>
          </w:tcPr>
          <w:p w14:paraId="3A496805" w14:textId="40AAC5E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32,268</w:t>
            </w:r>
          </w:p>
        </w:tc>
        <w:tc>
          <w:tcPr>
            <w:tcW w:w="199" w:type="pct"/>
          </w:tcPr>
          <w:p w14:paraId="2D284FAD" w14:textId="4DB9CBD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31,285</w:t>
            </w:r>
          </w:p>
        </w:tc>
        <w:tc>
          <w:tcPr>
            <w:tcW w:w="199" w:type="pct"/>
          </w:tcPr>
          <w:p w14:paraId="7E855ABD" w14:textId="7819ECD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30,693</w:t>
            </w:r>
          </w:p>
        </w:tc>
        <w:tc>
          <w:tcPr>
            <w:tcW w:w="199" w:type="pct"/>
          </w:tcPr>
          <w:p w14:paraId="5CF6FC05" w14:textId="33D6D32C"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30,261</w:t>
            </w:r>
          </w:p>
        </w:tc>
        <w:tc>
          <w:tcPr>
            <w:tcW w:w="199" w:type="pct"/>
          </w:tcPr>
          <w:p w14:paraId="0A2F334C" w14:textId="0D0DD87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29,416</w:t>
            </w:r>
          </w:p>
        </w:tc>
        <w:tc>
          <w:tcPr>
            <w:tcW w:w="199" w:type="pct"/>
          </w:tcPr>
          <w:p w14:paraId="4FCF982A" w14:textId="4868666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28,832</w:t>
            </w:r>
          </w:p>
        </w:tc>
        <w:tc>
          <w:tcPr>
            <w:tcW w:w="199" w:type="pct"/>
          </w:tcPr>
          <w:p w14:paraId="6A0D6DE1" w14:textId="06D9390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28,710</w:t>
            </w:r>
          </w:p>
        </w:tc>
        <w:tc>
          <w:tcPr>
            <w:tcW w:w="199" w:type="pct"/>
          </w:tcPr>
          <w:p w14:paraId="203D3CCA" w14:textId="57A3E45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28,297</w:t>
            </w:r>
          </w:p>
        </w:tc>
        <w:tc>
          <w:tcPr>
            <w:tcW w:w="199" w:type="pct"/>
          </w:tcPr>
          <w:p w14:paraId="6851C202" w14:textId="2295E44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27,658</w:t>
            </w:r>
          </w:p>
        </w:tc>
        <w:tc>
          <w:tcPr>
            <w:tcW w:w="199" w:type="pct"/>
          </w:tcPr>
          <w:p w14:paraId="238CC283" w14:textId="5B7EEE3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24,976</w:t>
            </w:r>
          </w:p>
        </w:tc>
        <w:tc>
          <w:tcPr>
            <w:tcW w:w="199" w:type="pct"/>
          </w:tcPr>
          <w:p w14:paraId="6A0ED1C3" w14:textId="0A74460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20,260</w:t>
            </w:r>
          </w:p>
        </w:tc>
        <w:tc>
          <w:tcPr>
            <w:tcW w:w="199" w:type="pct"/>
          </w:tcPr>
          <w:p w14:paraId="55920C31" w14:textId="66E64D73"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18,603</w:t>
            </w:r>
          </w:p>
        </w:tc>
        <w:tc>
          <w:tcPr>
            <w:tcW w:w="199" w:type="pct"/>
          </w:tcPr>
          <w:p w14:paraId="5EEA9249" w14:textId="3592DEC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18,333</w:t>
            </w:r>
          </w:p>
        </w:tc>
        <w:tc>
          <w:tcPr>
            <w:tcW w:w="199" w:type="pct"/>
          </w:tcPr>
          <w:p w14:paraId="67FAD63B" w14:textId="4C1489D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7,460</w:t>
            </w:r>
          </w:p>
        </w:tc>
        <w:tc>
          <w:tcPr>
            <w:tcW w:w="192" w:type="pct"/>
          </w:tcPr>
          <w:p w14:paraId="2E6EAFCF" w14:textId="4AF926A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223</w:t>
            </w:r>
          </w:p>
        </w:tc>
      </w:tr>
      <w:tr w:rsidR="00F8548D" w14:paraId="66FF7A02" w14:textId="675B6E97"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A118C60" w14:textId="4C90A962" w:rsidR="00F8548D" w:rsidRDefault="00F8548D" w:rsidP="00F8548D">
            <w:pPr>
              <w:pStyle w:val="TableLeftText"/>
            </w:pPr>
            <w:r>
              <w:rPr>
                <w:color w:val="4A4D56"/>
              </w:rPr>
              <w:t>Midstream Initiative</w:t>
            </w:r>
          </w:p>
        </w:tc>
        <w:tc>
          <w:tcPr>
            <w:tcW w:w="151" w:type="pct"/>
          </w:tcPr>
          <w:p w14:paraId="7E431676" w14:textId="40B92D2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14.8</w:t>
            </w:r>
          </w:p>
        </w:tc>
        <w:tc>
          <w:tcPr>
            <w:tcW w:w="355" w:type="pct"/>
          </w:tcPr>
          <w:p w14:paraId="6EC1BA08" w14:textId="1B06B9E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30,451</w:t>
            </w:r>
          </w:p>
        </w:tc>
        <w:tc>
          <w:tcPr>
            <w:tcW w:w="161" w:type="pct"/>
          </w:tcPr>
          <w:p w14:paraId="190AA6D7" w14:textId="6C162F8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0.974</w:t>
            </w:r>
          </w:p>
        </w:tc>
        <w:tc>
          <w:tcPr>
            <w:tcW w:w="199" w:type="pct"/>
          </w:tcPr>
          <w:p w14:paraId="48AF492B" w14:textId="571C168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29,653</w:t>
            </w:r>
          </w:p>
        </w:tc>
        <w:tc>
          <w:tcPr>
            <w:tcW w:w="199" w:type="pct"/>
          </w:tcPr>
          <w:p w14:paraId="0796BFE8" w14:textId="07B648E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29,653</w:t>
            </w:r>
          </w:p>
        </w:tc>
        <w:tc>
          <w:tcPr>
            <w:tcW w:w="199" w:type="pct"/>
          </w:tcPr>
          <w:p w14:paraId="3D4CCD1F" w14:textId="3EC02A1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29,653</w:t>
            </w:r>
          </w:p>
        </w:tc>
        <w:tc>
          <w:tcPr>
            <w:tcW w:w="199" w:type="pct"/>
          </w:tcPr>
          <w:p w14:paraId="4665EDB0" w14:textId="57754B7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29,649</w:t>
            </w:r>
          </w:p>
        </w:tc>
        <w:tc>
          <w:tcPr>
            <w:tcW w:w="199" w:type="pct"/>
          </w:tcPr>
          <w:p w14:paraId="4F5C4118" w14:textId="2AD9BBA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29,626</w:t>
            </w:r>
          </w:p>
        </w:tc>
        <w:tc>
          <w:tcPr>
            <w:tcW w:w="199" w:type="pct"/>
          </w:tcPr>
          <w:p w14:paraId="213A0C7D" w14:textId="2C5D429D"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29,618</w:t>
            </w:r>
          </w:p>
        </w:tc>
        <w:tc>
          <w:tcPr>
            <w:tcW w:w="199" w:type="pct"/>
          </w:tcPr>
          <w:p w14:paraId="4AFDD7EC" w14:textId="4A5E97A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29,618</w:t>
            </w:r>
          </w:p>
        </w:tc>
        <w:tc>
          <w:tcPr>
            <w:tcW w:w="199" w:type="pct"/>
          </w:tcPr>
          <w:p w14:paraId="075161A3" w14:textId="5DECBDE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29,618</w:t>
            </w:r>
          </w:p>
        </w:tc>
        <w:tc>
          <w:tcPr>
            <w:tcW w:w="199" w:type="pct"/>
          </w:tcPr>
          <w:p w14:paraId="581B6914" w14:textId="2A2C5C4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29,618</w:t>
            </w:r>
          </w:p>
        </w:tc>
        <w:tc>
          <w:tcPr>
            <w:tcW w:w="199" w:type="pct"/>
          </w:tcPr>
          <w:p w14:paraId="2E9B0D51" w14:textId="48EE3F5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29,603</w:t>
            </w:r>
          </w:p>
        </w:tc>
        <w:tc>
          <w:tcPr>
            <w:tcW w:w="199" w:type="pct"/>
          </w:tcPr>
          <w:p w14:paraId="0D5AA93B" w14:textId="54C0D18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29,597</w:t>
            </w:r>
          </w:p>
        </w:tc>
        <w:tc>
          <w:tcPr>
            <w:tcW w:w="199" w:type="pct"/>
          </w:tcPr>
          <w:p w14:paraId="6A1AF6E0" w14:textId="4EB217A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29,523</w:t>
            </w:r>
          </w:p>
        </w:tc>
        <w:tc>
          <w:tcPr>
            <w:tcW w:w="199" w:type="pct"/>
          </w:tcPr>
          <w:p w14:paraId="277DE34A" w14:textId="345F99A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29,241</w:t>
            </w:r>
          </w:p>
        </w:tc>
        <w:tc>
          <w:tcPr>
            <w:tcW w:w="199" w:type="pct"/>
          </w:tcPr>
          <w:p w14:paraId="238567A6" w14:textId="4A474DA0"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29,090</w:t>
            </w:r>
          </w:p>
        </w:tc>
        <w:tc>
          <w:tcPr>
            <w:tcW w:w="199" w:type="pct"/>
          </w:tcPr>
          <w:p w14:paraId="4FE61602" w14:textId="570C792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23,162</w:t>
            </w:r>
          </w:p>
        </w:tc>
        <w:tc>
          <w:tcPr>
            <w:tcW w:w="199" w:type="pct"/>
          </w:tcPr>
          <w:p w14:paraId="48E7283D" w14:textId="1A61684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2,775</w:t>
            </w:r>
          </w:p>
        </w:tc>
        <w:tc>
          <w:tcPr>
            <w:tcW w:w="192" w:type="pct"/>
          </w:tcPr>
          <w:p w14:paraId="39AE8141" w14:textId="25E98B3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9</w:t>
            </w:r>
          </w:p>
        </w:tc>
      </w:tr>
      <w:tr w:rsidR="00F8548D" w14:paraId="7B4BE9B9" w14:textId="76A171C0"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1F8945C" w14:textId="64BEE419" w:rsidR="00F8548D" w:rsidRDefault="00F8548D" w:rsidP="00F8548D">
            <w:pPr>
              <w:pStyle w:val="TableLeftText"/>
            </w:pPr>
            <w:r>
              <w:rPr>
                <w:color w:val="4A4D56"/>
              </w:rPr>
              <w:t>Business Carryover</w:t>
            </w:r>
          </w:p>
        </w:tc>
        <w:tc>
          <w:tcPr>
            <w:tcW w:w="151" w:type="pct"/>
          </w:tcPr>
          <w:p w14:paraId="6860945E" w14:textId="2A2B184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14.6</w:t>
            </w:r>
          </w:p>
        </w:tc>
        <w:tc>
          <w:tcPr>
            <w:tcW w:w="355" w:type="pct"/>
          </w:tcPr>
          <w:p w14:paraId="5C28B93B" w14:textId="524E3BF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3,543</w:t>
            </w:r>
          </w:p>
        </w:tc>
        <w:tc>
          <w:tcPr>
            <w:tcW w:w="161" w:type="pct"/>
          </w:tcPr>
          <w:p w14:paraId="2156F988" w14:textId="1E5F887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0.913</w:t>
            </w:r>
          </w:p>
        </w:tc>
        <w:tc>
          <w:tcPr>
            <w:tcW w:w="199" w:type="pct"/>
          </w:tcPr>
          <w:p w14:paraId="20AF9BDE" w14:textId="71B6B31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3,235</w:t>
            </w:r>
          </w:p>
        </w:tc>
        <w:tc>
          <w:tcPr>
            <w:tcW w:w="199" w:type="pct"/>
          </w:tcPr>
          <w:p w14:paraId="0BFB55BD" w14:textId="20AE37E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3,235</w:t>
            </w:r>
          </w:p>
        </w:tc>
        <w:tc>
          <w:tcPr>
            <w:tcW w:w="199" w:type="pct"/>
          </w:tcPr>
          <w:p w14:paraId="4414EF14" w14:textId="4BC5F4C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3,235</w:t>
            </w:r>
          </w:p>
        </w:tc>
        <w:tc>
          <w:tcPr>
            <w:tcW w:w="199" w:type="pct"/>
          </w:tcPr>
          <w:p w14:paraId="7224ADAD" w14:textId="7D99E64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3,235</w:t>
            </w:r>
          </w:p>
        </w:tc>
        <w:tc>
          <w:tcPr>
            <w:tcW w:w="199" w:type="pct"/>
          </w:tcPr>
          <w:p w14:paraId="0427B6C5" w14:textId="74F9992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3,197</w:t>
            </w:r>
          </w:p>
        </w:tc>
        <w:tc>
          <w:tcPr>
            <w:tcW w:w="199" w:type="pct"/>
          </w:tcPr>
          <w:p w14:paraId="029B4CDB" w14:textId="7A911C4C"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3,195</w:t>
            </w:r>
          </w:p>
        </w:tc>
        <w:tc>
          <w:tcPr>
            <w:tcW w:w="199" w:type="pct"/>
          </w:tcPr>
          <w:p w14:paraId="1AE02442" w14:textId="52EA952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3,190</w:t>
            </w:r>
          </w:p>
        </w:tc>
        <w:tc>
          <w:tcPr>
            <w:tcW w:w="199" w:type="pct"/>
          </w:tcPr>
          <w:p w14:paraId="23DBC262" w14:textId="4552C6F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3,138</w:t>
            </w:r>
          </w:p>
        </w:tc>
        <w:tc>
          <w:tcPr>
            <w:tcW w:w="199" w:type="pct"/>
          </w:tcPr>
          <w:p w14:paraId="40BD023E" w14:textId="0502DBC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3,138</w:t>
            </w:r>
          </w:p>
        </w:tc>
        <w:tc>
          <w:tcPr>
            <w:tcW w:w="199" w:type="pct"/>
          </w:tcPr>
          <w:p w14:paraId="2E0BD9CB" w14:textId="2F85ABA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3,138</w:t>
            </w:r>
          </w:p>
        </w:tc>
        <w:tc>
          <w:tcPr>
            <w:tcW w:w="199" w:type="pct"/>
          </w:tcPr>
          <w:p w14:paraId="17AF0F59" w14:textId="7F484B3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3,137</w:t>
            </w:r>
          </w:p>
        </w:tc>
        <w:tc>
          <w:tcPr>
            <w:tcW w:w="199" w:type="pct"/>
          </w:tcPr>
          <w:p w14:paraId="31EC9190" w14:textId="01F2BDD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3,137</w:t>
            </w:r>
          </w:p>
        </w:tc>
        <w:tc>
          <w:tcPr>
            <w:tcW w:w="199" w:type="pct"/>
          </w:tcPr>
          <w:p w14:paraId="5B991F0C" w14:textId="661F822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3,137</w:t>
            </w:r>
          </w:p>
        </w:tc>
        <w:tc>
          <w:tcPr>
            <w:tcW w:w="199" w:type="pct"/>
          </w:tcPr>
          <w:p w14:paraId="1C48F21E" w14:textId="45297EC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3,137</w:t>
            </w:r>
          </w:p>
        </w:tc>
        <w:tc>
          <w:tcPr>
            <w:tcW w:w="199" w:type="pct"/>
          </w:tcPr>
          <w:p w14:paraId="357D2BCF" w14:textId="369388A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2,501</w:t>
            </w:r>
          </w:p>
        </w:tc>
        <w:tc>
          <w:tcPr>
            <w:tcW w:w="199" w:type="pct"/>
          </w:tcPr>
          <w:p w14:paraId="1E0685E8" w14:textId="76326F5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2A95DC78" w14:textId="07E753A0"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7713F5EF" w14:textId="5237BC0A"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A52533F" w14:textId="0A418893" w:rsidR="00F8548D" w:rsidRDefault="00F8548D" w:rsidP="00F8548D">
            <w:pPr>
              <w:pStyle w:val="TableLeftText"/>
            </w:pPr>
            <w:r>
              <w:rPr>
                <w:color w:val="4A4D56"/>
              </w:rPr>
              <w:t>(b-25) Conversions</w:t>
            </w:r>
          </w:p>
        </w:tc>
        <w:tc>
          <w:tcPr>
            <w:tcW w:w="151" w:type="pct"/>
          </w:tcPr>
          <w:p w14:paraId="3350673D" w14:textId="5202076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24.7</w:t>
            </w:r>
          </w:p>
        </w:tc>
        <w:tc>
          <w:tcPr>
            <w:tcW w:w="355" w:type="pct"/>
          </w:tcPr>
          <w:p w14:paraId="2E955059" w14:textId="32E1F42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52,789</w:t>
            </w:r>
          </w:p>
        </w:tc>
        <w:tc>
          <w:tcPr>
            <w:tcW w:w="161" w:type="pct"/>
          </w:tcPr>
          <w:p w14:paraId="31384139" w14:textId="21601C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0.804</w:t>
            </w:r>
          </w:p>
        </w:tc>
        <w:tc>
          <w:tcPr>
            <w:tcW w:w="199" w:type="pct"/>
          </w:tcPr>
          <w:p w14:paraId="562AE7D8" w14:textId="53B2A21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470D35E4" w14:textId="78FCDE5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60D93F4C" w14:textId="45AC083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095E2DCA" w14:textId="4DDBBB7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7D0F566D" w14:textId="69529EA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50738EB4" w14:textId="591A6F5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7C367A03" w14:textId="42B021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50F3B123" w14:textId="0518744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2FDF62DC" w14:textId="6A42F86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27E04EEA" w14:textId="01F6476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63403B4D" w14:textId="520068B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42,428</w:t>
            </w:r>
          </w:p>
        </w:tc>
        <w:tc>
          <w:tcPr>
            <w:tcW w:w="199" w:type="pct"/>
          </w:tcPr>
          <w:p w14:paraId="322FE013" w14:textId="335060F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41,474</w:t>
            </w:r>
          </w:p>
        </w:tc>
        <w:tc>
          <w:tcPr>
            <w:tcW w:w="199" w:type="pct"/>
          </w:tcPr>
          <w:p w14:paraId="71B41057" w14:textId="5257C65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41,474</w:t>
            </w:r>
          </w:p>
        </w:tc>
        <w:tc>
          <w:tcPr>
            <w:tcW w:w="199" w:type="pct"/>
          </w:tcPr>
          <w:p w14:paraId="23E3D8D6" w14:textId="273103AA"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41,474</w:t>
            </w:r>
          </w:p>
        </w:tc>
        <w:tc>
          <w:tcPr>
            <w:tcW w:w="199" w:type="pct"/>
          </w:tcPr>
          <w:p w14:paraId="77024DB3" w14:textId="54B07F5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41,474</w:t>
            </w:r>
          </w:p>
        </w:tc>
        <w:tc>
          <w:tcPr>
            <w:tcW w:w="199" w:type="pct"/>
          </w:tcPr>
          <w:p w14:paraId="2E6BC291" w14:textId="4A79774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42,392</w:t>
            </w:r>
          </w:p>
        </w:tc>
        <w:tc>
          <w:tcPr>
            <w:tcW w:w="192" w:type="pct"/>
          </w:tcPr>
          <w:p w14:paraId="3F359A4F" w14:textId="30E1137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42,392</w:t>
            </w:r>
          </w:p>
        </w:tc>
      </w:tr>
      <w:tr w:rsidR="00F8548D" w14:paraId="4C4CD38F" w14:textId="066D97E7"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3CEDA0B" w14:textId="0F211BB0" w:rsidR="00F8548D" w:rsidRDefault="00F8548D" w:rsidP="00F8548D">
            <w:pPr>
              <w:pStyle w:val="TableLeftText"/>
            </w:pPr>
            <w:r>
              <w:rPr>
                <w:color w:val="4A4D56"/>
              </w:rPr>
              <w:t>Voltage Optimization Program</w:t>
            </w:r>
          </w:p>
        </w:tc>
        <w:tc>
          <w:tcPr>
            <w:tcW w:w="151" w:type="pct"/>
          </w:tcPr>
          <w:p w14:paraId="418FBA87" w14:textId="7F30BFB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15.0</w:t>
            </w:r>
          </w:p>
        </w:tc>
        <w:tc>
          <w:tcPr>
            <w:tcW w:w="355" w:type="pct"/>
          </w:tcPr>
          <w:p w14:paraId="41F3A16A" w14:textId="0C37E26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61" w:type="pct"/>
          </w:tcPr>
          <w:p w14:paraId="3A842737" w14:textId="56F5DDF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7AE13C4C" w14:textId="6104770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2DD32F37" w14:textId="5E6707B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19C71159" w14:textId="35655BA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04F137F0" w14:textId="2E5027E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34FB92EF" w14:textId="1B9781C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32409CC3" w14:textId="6398A8E3"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73CAB8AF" w14:textId="334F7DF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431BF53B" w14:textId="15A7C97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229BA264" w14:textId="5A50E83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47B19485" w14:textId="4A3CCFF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029B8305" w14:textId="6F43E1A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22FDFBFC" w14:textId="079880F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04B8A9A0" w14:textId="65355B5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3B5016A6" w14:textId="225DF2C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0A81A8A3" w14:textId="402F21C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99" w:type="pct"/>
          </w:tcPr>
          <w:p w14:paraId="2B2F2FE3" w14:textId="2700ECB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35692C2B" w14:textId="6986CF9F"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6B4F9D92" w14:textId="1ED050C1"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663D7377" w14:textId="087FA182"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tcBorders>
            <w:shd w:val="clear" w:color="auto" w:fill="D9D9D9"/>
          </w:tcPr>
          <w:p w14:paraId="5E8384AE" w14:textId="315218D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355" w:type="pct"/>
            <w:shd w:val="clear" w:color="auto" w:fill="D9D9D9"/>
          </w:tcPr>
          <w:p w14:paraId="7685E8FD" w14:textId="358EBE9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482,472</w:t>
            </w:r>
          </w:p>
        </w:tc>
        <w:tc>
          <w:tcPr>
            <w:tcW w:w="161" w:type="pct"/>
            <w:shd w:val="clear" w:color="auto" w:fill="D9D9D9"/>
          </w:tcPr>
          <w:p w14:paraId="0A4833B1" w14:textId="4032E80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0.910</w:t>
            </w:r>
          </w:p>
        </w:tc>
        <w:tc>
          <w:tcPr>
            <w:tcW w:w="199" w:type="pct"/>
            <w:shd w:val="clear" w:color="auto" w:fill="D9D9D9"/>
          </w:tcPr>
          <w:p w14:paraId="0EF3B17F" w14:textId="3E9645AD"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438,973</w:t>
            </w:r>
          </w:p>
        </w:tc>
        <w:tc>
          <w:tcPr>
            <w:tcW w:w="199" w:type="pct"/>
            <w:shd w:val="clear" w:color="auto" w:fill="D9D9D9"/>
          </w:tcPr>
          <w:p w14:paraId="35ECFE59" w14:textId="466F309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438,973</w:t>
            </w:r>
          </w:p>
        </w:tc>
        <w:tc>
          <w:tcPr>
            <w:tcW w:w="199" w:type="pct"/>
            <w:shd w:val="clear" w:color="auto" w:fill="D9D9D9"/>
          </w:tcPr>
          <w:p w14:paraId="5FE6726C" w14:textId="45CAD9AB"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437,937</w:t>
            </w:r>
          </w:p>
        </w:tc>
        <w:tc>
          <w:tcPr>
            <w:tcW w:w="199" w:type="pct"/>
            <w:shd w:val="clear" w:color="auto" w:fill="D9D9D9"/>
          </w:tcPr>
          <w:p w14:paraId="26C08E20" w14:textId="247B3AF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436,079</w:t>
            </w:r>
          </w:p>
        </w:tc>
        <w:tc>
          <w:tcPr>
            <w:tcW w:w="199" w:type="pct"/>
            <w:shd w:val="clear" w:color="auto" w:fill="D9D9D9"/>
          </w:tcPr>
          <w:p w14:paraId="441922E3" w14:textId="34226639"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432,911</w:t>
            </w:r>
          </w:p>
        </w:tc>
        <w:tc>
          <w:tcPr>
            <w:tcW w:w="199" w:type="pct"/>
            <w:shd w:val="clear" w:color="auto" w:fill="D9D9D9"/>
          </w:tcPr>
          <w:p w14:paraId="135C4053" w14:textId="0A07197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431,471</w:t>
            </w:r>
          </w:p>
        </w:tc>
        <w:tc>
          <w:tcPr>
            <w:tcW w:w="199" w:type="pct"/>
            <w:shd w:val="clear" w:color="auto" w:fill="D9D9D9"/>
          </w:tcPr>
          <w:p w14:paraId="551C6C2B" w14:textId="302C419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428,870</w:t>
            </w:r>
          </w:p>
        </w:tc>
        <w:tc>
          <w:tcPr>
            <w:tcW w:w="199" w:type="pct"/>
            <w:shd w:val="clear" w:color="auto" w:fill="D9D9D9"/>
          </w:tcPr>
          <w:p w14:paraId="3E6E9A6B" w14:textId="358A3FE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413,480</w:t>
            </w:r>
          </w:p>
        </w:tc>
        <w:tc>
          <w:tcPr>
            <w:tcW w:w="199" w:type="pct"/>
            <w:shd w:val="clear" w:color="auto" w:fill="D9D9D9"/>
          </w:tcPr>
          <w:p w14:paraId="3426CAD2" w14:textId="79E265A6"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345,543</w:t>
            </w:r>
          </w:p>
        </w:tc>
        <w:tc>
          <w:tcPr>
            <w:tcW w:w="199" w:type="pct"/>
            <w:shd w:val="clear" w:color="auto" w:fill="D9D9D9"/>
          </w:tcPr>
          <w:p w14:paraId="4F3FACDC" w14:textId="4963BAC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337,108</w:t>
            </w:r>
          </w:p>
        </w:tc>
        <w:tc>
          <w:tcPr>
            <w:tcW w:w="199" w:type="pct"/>
            <w:shd w:val="clear" w:color="auto" w:fill="D9D9D9"/>
          </w:tcPr>
          <w:p w14:paraId="58D75434" w14:textId="2B6D0BA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318,104</w:t>
            </w:r>
          </w:p>
        </w:tc>
        <w:tc>
          <w:tcPr>
            <w:tcW w:w="199" w:type="pct"/>
            <w:shd w:val="clear" w:color="auto" w:fill="D9D9D9"/>
          </w:tcPr>
          <w:p w14:paraId="57C63863" w14:textId="145BB87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286,498</w:t>
            </w:r>
          </w:p>
        </w:tc>
        <w:tc>
          <w:tcPr>
            <w:tcW w:w="199" w:type="pct"/>
            <w:shd w:val="clear" w:color="auto" w:fill="D9D9D9"/>
          </w:tcPr>
          <w:p w14:paraId="6A6E2493" w14:textId="220A309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268,324</w:t>
            </w:r>
          </w:p>
        </w:tc>
        <w:tc>
          <w:tcPr>
            <w:tcW w:w="199" w:type="pct"/>
            <w:shd w:val="clear" w:color="auto" w:fill="D9D9D9"/>
          </w:tcPr>
          <w:p w14:paraId="1E7E09D9" w14:textId="4E00590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260,165</w:t>
            </w:r>
          </w:p>
        </w:tc>
        <w:tc>
          <w:tcPr>
            <w:tcW w:w="199" w:type="pct"/>
            <w:shd w:val="clear" w:color="auto" w:fill="D9D9D9"/>
          </w:tcPr>
          <w:p w14:paraId="644C99A1" w14:textId="5CB5DE7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252,543</w:t>
            </w:r>
          </w:p>
        </w:tc>
        <w:tc>
          <w:tcPr>
            <w:tcW w:w="199" w:type="pct"/>
            <w:shd w:val="clear" w:color="auto" w:fill="D9D9D9"/>
          </w:tcPr>
          <w:p w14:paraId="69AEA07C" w14:textId="2C57C78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104,704</w:t>
            </w:r>
          </w:p>
        </w:tc>
        <w:tc>
          <w:tcPr>
            <w:tcW w:w="192" w:type="pct"/>
            <w:shd w:val="clear" w:color="auto" w:fill="D9D9D9"/>
          </w:tcPr>
          <w:p w14:paraId="38B6BB81" w14:textId="3E8D451A"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74,816</w:t>
            </w:r>
          </w:p>
        </w:tc>
      </w:tr>
      <w:tr w:rsidR="00F8548D" w14:paraId="1D339F10" w14:textId="554410F7" w:rsidTr="00F854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685CD2C9" w14:textId="414BEF3C"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Expiring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4C0F66D3"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05E88585"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44570320"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99" w:type="pct"/>
            <w:shd w:val="clear" w:color="auto" w:fill="D9D9D9"/>
          </w:tcPr>
          <w:p w14:paraId="591FCB39" w14:textId="51F89FF5"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33C4396D" w14:textId="613D819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09DBDDC6" w14:textId="62233E65"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1,036</w:t>
            </w:r>
          </w:p>
        </w:tc>
        <w:tc>
          <w:tcPr>
            <w:tcW w:w="199" w:type="pct"/>
            <w:shd w:val="clear" w:color="auto" w:fill="D9D9D9"/>
          </w:tcPr>
          <w:p w14:paraId="52D799DE" w14:textId="708A088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1,858</w:t>
            </w:r>
          </w:p>
        </w:tc>
        <w:tc>
          <w:tcPr>
            <w:tcW w:w="199" w:type="pct"/>
            <w:shd w:val="clear" w:color="auto" w:fill="D9D9D9"/>
          </w:tcPr>
          <w:p w14:paraId="3436C88B" w14:textId="3F44DF4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3,168</w:t>
            </w:r>
          </w:p>
        </w:tc>
        <w:tc>
          <w:tcPr>
            <w:tcW w:w="199" w:type="pct"/>
            <w:shd w:val="clear" w:color="auto" w:fill="D9D9D9"/>
          </w:tcPr>
          <w:p w14:paraId="34B84FBE" w14:textId="758A6C99"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1,440</w:t>
            </w:r>
          </w:p>
        </w:tc>
        <w:tc>
          <w:tcPr>
            <w:tcW w:w="199" w:type="pct"/>
            <w:shd w:val="clear" w:color="auto" w:fill="D9D9D9"/>
          </w:tcPr>
          <w:p w14:paraId="1DD7FE4C" w14:textId="5A1BE96C"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2,602</w:t>
            </w:r>
          </w:p>
        </w:tc>
        <w:tc>
          <w:tcPr>
            <w:tcW w:w="199" w:type="pct"/>
            <w:shd w:val="clear" w:color="auto" w:fill="D9D9D9"/>
          </w:tcPr>
          <w:p w14:paraId="02436E06" w14:textId="78BDDF98"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15,389</w:t>
            </w:r>
          </w:p>
        </w:tc>
        <w:tc>
          <w:tcPr>
            <w:tcW w:w="199" w:type="pct"/>
            <w:shd w:val="clear" w:color="auto" w:fill="D9D9D9"/>
          </w:tcPr>
          <w:p w14:paraId="6FE0896F" w14:textId="200D3DA0"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67,938</w:t>
            </w:r>
          </w:p>
        </w:tc>
        <w:tc>
          <w:tcPr>
            <w:tcW w:w="199" w:type="pct"/>
            <w:shd w:val="clear" w:color="auto" w:fill="D9D9D9"/>
          </w:tcPr>
          <w:p w14:paraId="14055C71" w14:textId="5E4A6FD4"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8,435</w:t>
            </w:r>
          </w:p>
        </w:tc>
        <w:tc>
          <w:tcPr>
            <w:tcW w:w="199" w:type="pct"/>
            <w:shd w:val="clear" w:color="auto" w:fill="D9D9D9"/>
          </w:tcPr>
          <w:p w14:paraId="2CB821DC" w14:textId="6A68ABA1"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19,003</w:t>
            </w:r>
          </w:p>
        </w:tc>
        <w:tc>
          <w:tcPr>
            <w:tcW w:w="199" w:type="pct"/>
            <w:shd w:val="clear" w:color="auto" w:fill="D9D9D9"/>
          </w:tcPr>
          <w:p w14:paraId="2EF7C15A" w14:textId="5F72B642"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31,607</w:t>
            </w:r>
          </w:p>
        </w:tc>
        <w:tc>
          <w:tcPr>
            <w:tcW w:w="199" w:type="pct"/>
            <w:shd w:val="clear" w:color="auto" w:fill="D9D9D9"/>
          </w:tcPr>
          <w:p w14:paraId="71C157A9" w14:textId="41AEA746"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18,174</w:t>
            </w:r>
          </w:p>
        </w:tc>
        <w:tc>
          <w:tcPr>
            <w:tcW w:w="199" w:type="pct"/>
            <w:shd w:val="clear" w:color="auto" w:fill="D9D9D9"/>
          </w:tcPr>
          <w:p w14:paraId="214CD08E" w14:textId="05EAC29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8,159</w:t>
            </w:r>
          </w:p>
        </w:tc>
        <w:tc>
          <w:tcPr>
            <w:tcW w:w="199" w:type="pct"/>
            <w:shd w:val="clear" w:color="auto" w:fill="D9D9D9"/>
          </w:tcPr>
          <w:p w14:paraId="1AE98944" w14:textId="0BC27F27"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7,622</w:t>
            </w:r>
          </w:p>
        </w:tc>
        <w:tc>
          <w:tcPr>
            <w:tcW w:w="199" w:type="pct"/>
            <w:shd w:val="clear" w:color="auto" w:fill="D9D9D9"/>
          </w:tcPr>
          <w:p w14:paraId="0C43B997" w14:textId="4918FDCA"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147,839</w:t>
            </w:r>
          </w:p>
        </w:tc>
        <w:tc>
          <w:tcPr>
            <w:tcW w:w="192" w:type="pct"/>
            <w:shd w:val="clear" w:color="auto" w:fill="D9D9D9"/>
          </w:tcPr>
          <w:p w14:paraId="2F4BAA0D" w14:textId="5ECD1123"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29,888</w:t>
            </w:r>
          </w:p>
        </w:tc>
      </w:tr>
      <w:tr w:rsidR="00F8548D" w14:paraId="77DB6427" w14:textId="04C771CB" w:rsidTr="00F854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6069EE0B" w14:textId="56B3AE01"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Expired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5ADE15E7"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14FB2D11"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02FC991B"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99" w:type="pct"/>
            <w:shd w:val="clear" w:color="auto" w:fill="D9D9D9"/>
          </w:tcPr>
          <w:p w14:paraId="2F8A4F91" w14:textId="26244F9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681B2E57" w14:textId="146B112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75CDA714" w14:textId="6CC9783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1,036</w:t>
            </w:r>
          </w:p>
        </w:tc>
        <w:tc>
          <w:tcPr>
            <w:tcW w:w="199" w:type="pct"/>
            <w:shd w:val="clear" w:color="auto" w:fill="D9D9D9"/>
          </w:tcPr>
          <w:p w14:paraId="6D8FA48C" w14:textId="21ECDA4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2,894</w:t>
            </w:r>
          </w:p>
        </w:tc>
        <w:tc>
          <w:tcPr>
            <w:tcW w:w="199" w:type="pct"/>
            <w:shd w:val="clear" w:color="auto" w:fill="D9D9D9"/>
          </w:tcPr>
          <w:p w14:paraId="3AA8797C" w14:textId="25868ED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6,062</w:t>
            </w:r>
          </w:p>
        </w:tc>
        <w:tc>
          <w:tcPr>
            <w:tcW w:w="199" w:type="pct"/>
            <w:shd w:val="clear" w:color="auto" w:fill="D9D9D9"/>
          </w:tcPr>
          <w:p w14:paraId="6C494FCE" w14:textId="66505199"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7,502</w:t>
            </w:r>
          </w:p>
        </w:tc>
        <w:tc>
          <w:tcPr>
            <w:tcW w:w="199" w:type="pct"/>
            <w:shd w:val="clear" w:color="auto" w:fill="D9D9D9"/>
          </w:tcPr>
          <w:p w14:paraId="53876FCC" w14:textId="5A8AD67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10,103</w:t>
            </w:r>
          </w:p>
        </w:tc>
        <w:tc>
          <w:tcPr>
            <w:tcW w:w="199" w:type="pct"/>
            <w:shd w:val="clear" w:color="auto" w:fill="D9D9D9"/>
          </w:tcPr>
          <w:p w14:paraId="0DD8B68F" w14:textId="57DE1A8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25,493</w:t>
            </w:r>
          </w:p>
        </w:tc>
        <w:tc>
          <w:tcPr>
            <w:tcW w:w="199" w:type="pct"/>
            <w:shd w:val="clear" w:color="auto" w:fill="D9D9D9"/>
          </w:tcPr>
          <w:p w14:paraId="4DE0506F" w14:textId="1766A06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93,430</w:t>
            </w:r>
          </w:p>
        </w:tc>
        <w:tc>
          <w:tcPr>
            <w:tcW w:w="199" w:type="pct"/>
            <w:shd w:val="clear" w:color="auto" w:fill="D9D9D9"/>
          </w:tcPr>
          <w:p w14:paraId="317A8CEA" w14:textId="29432D8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101,865</w:t>
            </w:r>
          </w:p>
        </w:tc>
        <w:tc>
          <w:tcPr>
            <w:tcW w:w="199" w:type="pct"/>
            <w:shd w:val="clear" w:color="auto" w:fill="D9D9D9"/>
          </w:tcPr>
          <w:p w14:paraId="457CB7A3" w14:textId="73FF1C4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120,869</w:t>
            </w:r>
          </w:p>
        </w:tc>
        <w:tc>
          <w:tcPr>
            <w:tcW w:w="199" w:type="pct"/>
            <w:shd w:val="clear" w:color="auto" w:fill="D9D9D9"/>
          </w:tcPr>
          <w:p w14:paraId="5C9DBEC1" w14:textId="49E7B6D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152,475</w:t>
            </w:r>
          </w:p>
        </w:tc>
        <w:tc>
          <w:tcPr>
            <w:tcW w:w="199" w:type="pct"/>
            <w:shd w:val="clear" w:color="auto" w:fill="D9D9D9"/>
          </w:tcPr>
          <w:p w14:paraId="2AABEA73" w14:textId="0EBDF8F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170,649</w:t>
            </w:r>
          </w:p>
        </w:tc>
        <w:tc>
          <w:tcPr>
            <w:tcW w:w="199" w:type="pct"/>
            <w:shd w:val="clear" w:color="auto" w:fill="D9D9D9"/>
          </w:tcPr>
          <w:p w14:paraId="204E0CAE" w14:textId="160123DD"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178,808</w:t>
            </w:r>
          </w:p>
        </w:tc>
        <w:tc>
          <w:tcPr>
            <w:tcW w:w="199" w:type="pct"/>
            <w:shd w:val="clear" w:color="auto" w:fill="D9D9D9"/>
          </w:tcPr>
          <w:p w14:paraId="6D492CF3" w14:textId="0595AFB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186,430</w:t>
            </w:r>
          </w:p>
        </w:tc>
        <w:tc>
          <w:tcPr>
            <w:tcW w:w="199" w:type="pct"/>
            <w:shd w:val="clear" w:color="auto" w:fill="D9D9D9"/>
          </w:tcPr>
          <w:p w14:paraId="2B4E59E5" w14:textId="74DE85F3"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334,269</w:t>
            </w:r>
          </w:p>
        </w:tc>
        <w:tc>
          <w:tcPr>
            <w:tcW w:w="192" w:type="pct"/>
            <w:shd w:val="clear" w:color="auto" w:fill="D9D9D9"/>
          </w:tcPr>
          <w:p w14:paraId="72652DA5" w14:textId="17C5B92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364,157</w:t>
            </w:r>
          </w:p>
        </w:tc>
      </w:tr>
    </w:tbl>
    <w:p w14:paraId="369E34B0" w14:textId="77777777" w:rsidR="00067DBC" w:rsidRDefault="00067DBC" w:rsidP="00067DBC">
      <w:r>
        <w:br w:type="page"/>
      </w:r>
    </w:p>
    <w:p w14:paraId="6E581BFA" w14:textId="1E5B1CC4" w:rsidR="00067DBC" w:rsidRDefault="00067DBC" w:rsidP="00067DBC">
      <w:pPr>
        <w:jc w:val="center"/>
      </w:pPr>
      <w:r>
        <w:lastRenderedPageBreak/>
        <w:fldChar w:fldCharType="begin"/>
      </w:r>
      <w:r>
        <w:instrText xml:space="preserve"> REF _Ref161299962 \h </w:instrText>
      </w:r>
      <w:r>
        <w:fldChar w:fldCharType="separate"/>
      </w:r>
      <w:r w:rsidR="00F8548D">
        <w:t xml:space="preserve">Table </w:t>
      </w:r>
      <w:r w:rsidR="00F8548D">
        <w:rPr>
          <w:noProof/>
        </w:rPr>
        <w:t>19</w:t>
      </w:r>
      <w:r>
        <w:fldChar w:fldCharType="end"/>
      </w:r>
      <w:r>
        <w:t xml:space="preserve"> (Continued). 202</w:t>
      </w:r>
      <w:r w:rsidR="00400F10">
        <w:t xml:space="preserve">4 </w:t>
      </w:r>
      <w:r>
        <w:t>AIC Portfolio CPAS and WAML</w:t>
      </w:r>
    </w:p>
    <w:tbl>
      <w:tblPr>
        <w:tblStyle w:val="ODCBasic-1"/>
        <w:tblW w:w="5000" w:type="pct"/>
        <w:tblCellMar>
          <w:top w:w="0" w:type="dxa"/>
        </w:tblCellMar>
        <w:tblLook w:val="04A0" w:firstRow="1" w:lastRow="0" w:firstColumn="1" w:lastColumn="0" w:noHBand="0" w:noVBand="1"/>
      </w:tblPr>
      <w:tblGrid>
        <w:gridCol w:w="4475"/>
        <w:gridCol w:w="705"/>
        <w:gridCol w:w="1658"/>
        <w:gridCol w:w="752"/>
        <w:gridCol w:w="929"/>
        <w:gridCol w:w="929"/>
        <w:gridCol w:w="929"/>
        <w:gridCol w:w="929"/>
        <w:gridCol w:w="929"/>
        <w:gridCol w:w="929"/>
        <w:gridCol w:w="929"/>
        <w:gridCol w:w="929"/>
        <w:gridCol w:w="929"/>
        <w:gridCol w:w="929"/>
        <w:gridCol w:w="929"/>
        <w:gridCol w:w="929"/>
        <w:gridCol w:w="929"/>
        <w:gridCol w:w="929"/>
        <w:gridCol w:w="929"/>
        <w:gridCol w:w="929"/>
        <w:gridCol w:w="896"/>
      </w:tblGrid>
      <w:tr w:rsidR="00F8548D" w14:paraId="31739C2C" w14:textId="77777777" w:rsidTr="009F258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val="restart"/>
            <w:tcBorders>
              <w:bottom w:val="single" w:sz="4" w:space="0" w:color="4A4D56" w:themeColor="text1"/>
              <w:right w:val="single" w:sz="4" w:space="0" w:color="4A4D56" w:themeColor="text1"/>
            </w:tcBorders>
          </w:tcPr>
          <w:p w14:paraId="4D835FD3" w14:textId="77777777" w:rsidR="00F8548D" w:rsidRPr="00625570" w:rsidRDefault="00F8548D" w:rsidP="009F2580">
            <w:pPr>
              <w:pStyle w:val="TableHeadingLeft"/>
            </w:pPr>
            <w:r>
              <w:t>Initiative</w:t>
            </w:r>
          </w:p>
        </w:tc>
        <w:tc>
          <w:tcPr>
            <w:tcW w:w="151" w:type="pct"/>
            <w:vMerge w:val="restart"/>
            <w:tcBorders>
              <w:left w:val="single" w:sz="4" w:space="0" w:color="4A4D56" w:themeColor="text1"/>
              <w:right w:val="single" w:sz="4" w:space="0" w:color="4A4D56" w:themeColor="text1"/>
            </w:tcBorders>
          </w:tcPr>
          <w:p w14:paraId="440002E9"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WAML</w:t>
            </w:r>
          </w:p>
        </w:tc>
        <w:tc>
          <w:tcPr>
            <w:tcW w:w="355" w:type="pct"/>
            <w:vMerge w:val="restart"/>
            <w:tcBorders>
              <w:left w:val="single" w:sz="4" w:space="0" w:color="4A4D56" w:themeColor="text1"/>
              <w:right w:val="single" w:sz="4" w:space="0" w:color="4A4D56" w:themeColor="text1"/>
            </w:tcBorders>
          </w:tcPr>
          <w:p w14:paraId="4F7C75A4"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Annual Verified Gross Savings (MWh)</w:t>
            </w:r>
          </w:p>
        </w:tc>
        <w:tc>
          <w:tcPr>
            <w:tcW w:w="161" w:type="pct"/>
            <w:vMerge w:val="restart"/>
            <w:tcBorders>
              <w:left w:val="single" w:sz="4" w:space="0" w:color="4A4D56" w:themeColor="text1"/>
              <w:right w:val="single" w:sz="4" w:space="0" w:color="4A4D56" w:themeColor="text1"/>
            </w:tcBorders>
          </w:tcPr>
          <w:p w14:paraId="74B9FBFA"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3375" w:type="pct"/>
            <w:gridSpan w:val="17"/>
            <w:tcBorders>
              <w:left w:val="single" w:sz="4" w:space="0" w:color="4A4D56" w:themeColor="text1"/>
            </w:tcBorders>
          </w:tcPr>
          <w:p w14:paraId="1E049923" w14:textId="77777777" w:rsidR="00F8548D"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CPAS – Verified Net Savings (MWh)</w:t>
            </w:r>
          </w:p>
        </w:tc>
      </w:tr>
      <w:tr w:rsidR="00F8548D" w14:paraId="7512385D" w14:textId="77777777" w:rsidTr="009F258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tcBorders>
              <w:top w:val="single" w:sz="4" w:space="0" w:color="4A4D56" w:themeColor="text1"/>
              <w:right w:val="single" w:sz="4" w:space="0" w:color="4A4D56" w:themeColor="text1"/>
            </w:tcBorders>
          </w:tcPr>
          <w:p w14:paraId="3B3B1043" w14:textId="77777777" w:rsidR="00F8548D" w:rsidRPr="00625570" w:rsidRDefault="00F8548D" w:rsidP="00F8548D">
            <w:pPr>
              <w:pStyle w:val="ODTable"/>
              <w:suppressAutoHyphens/>
              <w:ind w:left="72"/>
              <w:rPr>
                <w:sz w:val="18"/>
                <w:szCs w:val="18"/>
              </w:rPr>
            </w:pPr>
          </w:p>
        </w:tc>
        <w:tc>
          <w:tcPr>
            <w:tcW w:w="151" w:type="pct"/>
            <w:vMerge/>
            <w:tcBorders>
              <w:left w:val="single" w:sz="4" w:space="0" w:color="4A4D56" w:themeColor="text1"/>
              <w:right w:val="single" w:sz="4" w:space="0" w:color="4A4D56" w:themeColor="text1"/>
            </w:tcBorders>
          </w:tcPr>
          <w:p w14:paraId="63EBB0BB"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rPr>
                <w:rFonts w:cs="Calibri"/>
              </w:rPr>
            </w:pPr>
          </w:p>
        </w:tc>
        <w:tc>
          <w:tcPr>
            <w:tcW w:w="355" w:type="pct"/>
            <w:vMerge/>
            <w:tcBorders>
              <w:left w:val="single" w:sz="4" w:space="0" w:color="4A4D56" w:themeColor="text1"/>
              <w:right w:val="single" w:sz="4" w:space="0" w:color="4A4D56" w:themeColor="text1"/>
            </w:tcBorders>
          </w:tcPr>
          <w:p w14:paraId="63E7E054"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61" w:type="pct"/>
            <w:vMerge/>
            <w:tcBorders>
              <w:left w:val="single" w:sz="4" w:space="0" w:color="4A4D56" w:themeColor="text1"/>
              <w:right w:val="single" w:sz="4" w:space="0" w:color="4A4D56" w:themeColor="text1"/>
            </w:tcBorders>
          </w:tcPr>
          <w:p w14:paraId="5195F405"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99" w:type="pct"/>
            <w:tcBorders>
              <w:left w:val="single" w:sz="4" w:space="0" w:color="4A4D56" w:themeColor="text1"/>
              <w:right w:val="single" w:sz="4" w:space="0" w:color="4A4D56" w:themeColor="text1"/>
            </w:tcBorders>
          </w:tcPr>
          <w:p w14:paraId="00BF472D" w14:textId="463AA8DB"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2041</w:t>
            </w:r>
          </w:p>
        </w:tc>
        <w:tc>
          <w:tcPr>
            <w:tcW w:w="199" w:type="pct"/>
            <w:tcBorders>
              <w:top w:val="single" w:sz="4" w:space="0" w:color="4A4D56" w:themeColor="text1"/>
              <w:left w:val="single" w:sz="4" w:space="0" w:color="4A4D56" w:themeColor="text1"/>
              <w:right w:val="single" w:sz="4" w:space="0" w:color="4A4D56" w:themeColor="text1"/>
            </w:tcBorders>
          </w:tcPr>
          <w:p w14:paraId="451A3747" w14:textId="0DF70D0A"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2042</w:t>
            </w:r>
          </w:p>
        </w:tc>
        <w:tc>
          <w:tcPr>
            <w:tcW w:w="199" w:type="pct"/>
            <w:tcBorders>
              <w:top w:val="single" w:sz="4" w:space="0" w:color="4A4D56" w:themeColor="text1"/>
              <w:left w:val="single" w:sz="4" w:space="0" w:color="4A4D56" w:themeColor="text1"/>
              <w:right w:val="single" w:sz="4" w:space="0" w:color="4A4D56" w:themeColor="text1"/>
            </w:tcBorders>
          </w:tcPr>
          <w:p w14:paraId="19C785E6" w14:textId="18388D0A"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2043</w:t>
            </w:r>
          </w:p>
        </w:tc>
        <w:tc>
          <w:tcPr>
            <w:tcW w:w="199" w:type="pct"/>
            <w:tcBorders>
              <w:top w:val="single" w:sz="4" w:space="0" w:color="4A4D56" w:themeColor="text1"/>
              <w:left w:val="single" w:sz="4" w:space="0" w:color="4A4D56" w:themeColor="text1"/>
              <w:right w:val="single" w:sz="4" w:space="0" w:color="4A4D56" w:themeColor="text1"/>
            </w:tcBorders>
          </w:tcPr>
          <w:p w14:paraId="1668851A" w14:textId="01FAC378"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2044</w:t>
            </w:r>
          </w:p>
        </w:tc>
        <w:tc>
          <w:tcPr>
            <w:tcW w:w="199" w:type="pct"/>
            <w:tcBorders>
              <w:top w:val="single" w:sz="4" w:space="0" w:color="4A4D56" w:themeColor="text1"/>
              <w:left w:val="single" w:sz="4" w:space="0" w:color="4A4D56" w:themeColor="text1"/>
              <w:right w:val="single" w:sz="4" w:space="0" w:color="4A4D56" w:themeColor="text1"/>
            </w:tcBorders>
          </w:tcPr>
          <w:p w14:paraId="42C6E0EE" w14:textId="30037279"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2045</w:t>
            </w:r>
          </w:p>
        </w:tc>
        <w:tc>
          <w:tcPr>
            <w:tcW w:w="199" w:type="pct"/>
            <w:tcBorders>
              <w:top w:val="single" w:sz="4" w:space="0" w:color="4A4D56" w:themeColor="text1"/>
              <w:left w:val="single" w:sz="4" w:space="0" w:color="4A4D56" w:themeColor="text1"/>
              <w:right w:val="single" w:sz="4" w:space="0" w:color="4A4D56" w:themeColor="text1"/>
            </w:tcBorders>
          </w:tcPr>
          <w:p w14:paraId="62AFE3EC" w14:textId="596A65DE"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2046</w:t>
            </w:r>
          </w:p>
        </w:tc>
        <w:tc>
          <w:tcPr>
            <w:tcW w:w="199" w:type="pct"/>
            <w:tcBorders>
              <w:top w:val="single" w:sz="4" w:space="0" w:color="4A4D56" w:themeColor="text1"/>
              <w:left w:val="single" w:sz="4" w:space="0" w:color="4A4D56" w:themeColor="text1"/>
              <w:right w:val="single" w:sz="4" w:space="0" w:color="4A4D56" w:themeColor="text1"/>
            </w:tcBorders>
          </w:tcPr>
          <w:p w14:paraId="10C7D04B" w14:textId="7195375A"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2047</w:t>
            </w:r>
          </w:p>
        </w:tc>
        <w:tc>
          <w:tcPr>
            <w:tcW w:w="199" w:type="pct"/>
            <w:tcBorders>
              <w:top w:val="single" w:sz="4" w:space="0" w:color="4A4D56" w:themeColor="text1"/>
              <w:left w:val="single" w:sz="4" w:space="0" w:color="4A4D56" w:themeColor="text1"/>
              <w:right w:val="single" w:sz="4" w:space="0" w:color="4A4D56" w:themeColor="text1"/>
            </w:tcBorders>
          </w:tcPr>
          <w:p w14:paraId="5C8E94E0" w14:textId="402524E4"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2048</w:t>
            </w:r>
          </w:p>
        </w:tc>
        <w:tc>
          <w:tcPr>
            <w:tcW w:w="199" w:type="pct"/>
            <w:tcBorders>
              <w:top w:val="single" w:sz="4" w:space="0" w:color="4A4D56" w:themeColor="text1"/>
              <w:left w:val="single" w:sz="4" w:space="0" w:color="4A4D56" w:themeColor="text1"/>
              <w:right w:val="single" w:sz="4" w:space="0" w:color="4A4D56" w:themeColor="text1"/>
            </w:tcBorders>
          </w:tcPr>
          <w:p w14:paraId="64F24817" w14:textId="1BF1B9E3"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2049</w:t>
            </w:r>
          </w:p>
        </w:tc>
        <w:tc>
          <w:tcPr>
            <w:tcW w:w="199" w:type="pct"/>
            <w:tcBorders>
              <w:top w:val="single" w:sz="4" w:space="0" w:color="4A4D56" w:themeColor="text1"/>
              <w:left w:val="single" w:sz="4" w:space="0" w:color="4A4D56" w:themeColor="text1"/>
              <w:right w:val="single" w:sz="4" w:space="0" w:color="4A4D56" w:themeColor="text1"/>
            </w:tcBorders>
          </w:tcPr>
          <w:p w14:paraId="3DC477B7" w14:textId="5C2AB7C0"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2050</w:t>
            </w:r>
          </w:p>
        </w:tc>
        <w:tc>
          <w:tcPr>
            <w:tcW w:w="199" w:type="pct"/>
            <w:tcBorders>
              <w:top w:val="single" w:sz="4" w:space="0" w:color="4A4D56" w:themeColor="text1"/>
              <w:left w:val="single" w:sz="4" w:space="0" w:color="4A4D56" w:themeColor="text1"/>
              <w:right w:val="single" w:sz="4" w:space="0" w:color="4A4D56" w:themeColor="text1"/>
            </w:tcBorders>
          </w:tcPr>
          <w:p w14:paraId="35318DC2" w14:textId="17D9D503"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2051</w:t>
            </w:r>
          </w:p>
        </w:tc>
        <w:tc>
          <w:tcPr>
            <w:tcW w:w="199" w:type="pct"/>
            <w:tcBorders>
              <w:top w:val="single" w:sz="4" w:space="0" w:color="4A4D56" w:themeColor="text1"/>
              <w:left w:val="single" w:sz="4" w:space="0" w:color="4A4D56" w:themeColor="text1"/>
              <w:right w:val="single" w:sz="4" w:space="0" w:color="4A4D56" w:themeColor="text1"/>
            </w:tcBorders>
          </w:tcPr>
          <w:p w14:paraId="491822FE" w14:textId="5A6C109F"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2052</w:t>
            </w:r>
          </w:p>
        </w:tc>
        <w:tc>
          <w:tcPr>
            <w:tcW w:w="199" w:type="pct"/>
            <w:tcBorders>
              <w:top w:val="single" w:sz="4" w:space="0" w:color="4A4D56" w:themeColor="text1"/>
              <w:left w:val="single" w:sz="4" w:space="0" w:color="4A4D56" w:themeColor="text1"/>
              <w:right w:val="single" w:sz="4" w:space="0" w:color="4A4D56" w:themeColor="text1"/>
            </w:tcBorders>
          </w:tcPr>
          <w:p w14:paraId="3E034A1B" w14:textId="221D73FA"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2053</w:t>
            </w:r>
          </w:p>
        </w:tc>
        <w:tc>
          <w:tcPr>
            <w:tcW w:w="199" w:type="pct"/>
            <w:tcBorders>
              <w:left w:val="single" w:sz="4" w:space="0" w:color="4A4D56" w:themeColor="text1"/>
              <w:right w:val="single" w:sz="4" w:space="0" w:color="4A4D56" w:themeColor="text1"/>
            </w:tcBorders>
          </w:tcPr>
          <w:p w14:paraId="1F3ED3DD" w14:textId="47848961"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2054</w:t>
            </w:r>
          </w:p>
        </w:tc>
        <w:tc>
          <w:tcPr>
            <w:tcW w:w="199" w:type="pct"/>
            <w:tcBorders>
              <w:left w:val="single" w:sz="4" w:space="0" w:color="4A4D56" w:themeColor="text1"/>
            </w:tcBorders>
          </w:tcPr>
          <w:p w14:paraId="485287E5" w14:textId="3A512B4D"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2055</w:t>
            </w:r>
          </w:p>
        </w:tc>
        <w:tc>
          <w:tcPr>
            <w:tcW w:w="199" w:type="pct"/>
            <w:tcBorders>
              <w:left w:val="single" w:sz="4" w:space="0" w:color="4A4D56" w:themeColor="text1"/>
            </w:tcBorders>
          </w:tcPr>
          <w:p w14:paraId="21344864" w14:textId="5E982732"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2056</w:t>
            </w:r>
          </w:p>
        </w:tc>
        <w:tc>
          <w:tcPr>
            <w:tcW w:w="192" w:type="pct"/>
            <w:tcBorders>
              <w:left w:val="single" w:sz="4" w:space="0" w:color="4A4D56" w:themeColor="text1"/>
            </w:tcBorders>
          </w:tcPr>
          <w:p w14:paraId="6DC9E2E4" w14:textId="2D99A2CF"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2057</w:t>
            </w:r>
          </w:p>
        </w:tc>
      </w:tr>
      <w:tr w:rsidR="00F8548D" w14:paraId="57DE057A"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7094B95" w14:textId="77777777" w:rsidR="00F8548D" w:rsidRPr="001C50B5" w:rsidRDefault="00F8548D" w:rsidP="00F8548D">
            <w:pPr>
              <w:pStyle w:val="TableLeftText"/>
            </w:pPr>
            <w:r>
              <w:rPr>
                <w:color w:val="4A4D56"/>
              </w:rPr>
              <w:t>Retail Products Initiative</w:t>
            </w:r>
          </w:p>
        </w:tc>
        <w:tc>
          <w:tcPr>
            <w:tcW w:w="151" w:type="pct"/>
          </w:tcPr>
          <w:p w14:paraId="1AA58074"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9.2</w:t>
            </w:r>
          </w:p>
        </w:tc>
        <w:tc>
          <w:tcPr>
            <w:tcW w:w="355" w:type="pct"/>
          </w:tcPr>
          <w:p w14:paraId="5A3D9624"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101,713</w:t>
            </w:r>
          </w:p>
        </w:tc>
        <w:tc>
          <w:tcPr>
            <w:tcW w:w="161" w:type="pct"/>
          </w:tcPr>
          <w:p w14:paraId="07B5BF2B"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0.890</w:t>
            </w:r>
          </w:p>
        </w:tc>
        <w:tc>
          <w:tcPr>
            <w:tcW w:w="199" w:type="pct"/>
          </w:tcPr>
          <w:p w14:paraId="62739129" w14:textId="1102B7F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600</w:t>
            </w:r>
          </w:p>
        </w:tc>
        <w:tc>
          <w:tcPr>
            <w:tcW w:w="199" w:type="pct"/>
          </w:tcPr>
          <w:p w14:paraId="0694C91C" w14:textId="49AF1AA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600</w:t>
            </w:r>
          </w:p>
        </w:tc>
        <w:tc>
          <w:tcPr>
            <w:tcW w:w="199" w:type="pct"/>
          </w:tcPr>
          <w:p w14:paraId="14F3EA47" w14:textId="3E65DF9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492</w:t>
            </w:r>
          </w:p>
        </w:tc>
        <w:tc>
          <w:tcPr>
            <w:tcW w:w="199" w:type="pct"/>
          </w:tcPr>
          <w:p w14:paraId="6C6F549F" w14:textId="56F5949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w:t>
            </w:r>
          </w:p>
        </w:tc>
        <w:tc>
          <w:tcPr>
            <w:tcW w:w="199" w:type="pct"/>
          </w:tcPr>
          <w:p w14:paraId="060E45C3" w14:textId="1B1C41D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C96EFD3" w14:textId="5A154EE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57B7560" w14:textId="421FB9C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C52CA4E" w14:textId="446594D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F27D180" w14:textId="5BD05F2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59CFA10" w14:textId="62A56B2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231F422" w14:textId="076A282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16F784C" w14:textId="60F1C22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C66BB13" w14:textId="083C2BE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C239BF9" w14:textId="54E247E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D2371A8" w14:textId="2B5383C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3CBF778" w14:textId="578EDA0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72E1B4B2" w14:textId="48EBCE25"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43A61D85"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B84FA0D" w14:textId="77777777" w:rsidR="00F8548D" w:rsidRDefault="00F8548D" w:rsidP="00F8548D">
            <w:pPr>
              <w:pStyle w:val="TableLeftText"/>
            </w:pPr>
            <w:r>
              <w:rPr>
                <w:color w:val="4A4D56"/>
              </w:rPr>
              <w:t>Income Qualified Initiative - Single Family Offerings</w:t>
            </w:r>
          </w:p>
        </w:tc>
        <w:tc>
          <w:tcPr>
            <w:tcW w:w="151" w:type="pct"/>
          </w:tcPr>
          <w:p w14:paraId="3779B1AB"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15.3</w:t>
            </w:r>
          </w:p>
        </w:tc>
        <w:tc>
          <w:tcPr>
            <w:tcW w:w="355" w:type="pct"/>
          </w:tcPr>
          <w:p w14:paraId="52A1CB28"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6,972</w:t>
            </w:r>
          </w:p>
        </w:tc>
        <w:tc>
          <w:tcPr>
            <w:tcW w:w="161" w:type="pct"/>
          </w:tcPr>
          <w:p w14:paraId="23FB95CC"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05AE8BE7" w14:textId="34DF97C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1,543</w:t>
            </w:r>
          </w:p>
        </w:tc>
        <w:tc>
          <w:tcPr>
            <w:tcW w:w="199" w:type="pct"/>
          </w:tcPr>
          <w:p w14:paraId="1439D9C3" w14:textId="75974FB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1,500</w:t>
            </w:r>
          </w:p>
        </w:tc>
        <w:tc>
          <w:tcPr>
            <w:tcW w:w="199" w:type="pct"/>
          </w:tcPr>
          <w:p w14:paraId="0A63D433" w14:textId="03299FA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1,291</w:t>
            </w:r>
          </w:p>
        </w:tc>
        <w:tc>
          <w:tcPr>
            <w:tcW w:w="199" w:type="pct"/>
          </w:tcPr>
          <w:p w14:paraId="32D07182" w14:textId="4E52D30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019F5EEC" w14:textId="3C8F05C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5A093D47" w14:textId="345CFF39"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2F80B9D1" w14:textId="217440A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786550E0" w14:textId="754320D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61DCAC4A" w14:textId="4166A57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69CA8A17" w14:textId="1C2A9C3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1A209430" w14:textId="2611FC3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6EE1A444" w14:textId="4F5CCBD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6167B2B2" w14:textId="7E10B87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743</w:t>
            </w:r>
          </w:p>
        </w:tc>
        <w:tc>
          <w:tcPr>
            <w:tcW w:w="199" w:type="pct"/>
          </w:tcPr>
          <w:p w14:paraId="623F4961" w14:textId="45322D8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0EEEB9A" w14:textId="6B8E3FF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8D132DC" w14:textId="639DF25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6C98F970" w14:textId="4E267583"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128F3A2C"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6C75D71" w14:textId="77777777" w:rsidR="00F8548D" w:rsidRDefault="00F8548D" w:rsidP="00F8548D">
            <w:pPr>
              <w:pStyle w:val="TableLeftText"/>
            </w:pPr>
            <w:r>
              <w:rPr>
                <w:color w:val="4A4D56"/>
              </w:rPr>
              <w:t>Multifamily Initiatives</w:t>
            </w:r>
          </w:p>
        </w:tc>
        <w:tc>
          <w:tcPr>
            <w:tcW w:w="151" w:type="pct"/>
          </w:tcPr>
          <w:p w14:paraId="3958A7FF"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13.0</w:t>
            </w:r>
          </w:p>
        </w:tc>
        <w:tc>
          <w:tcPr>
            <w:tcW w:w="355" w:type="pct"/>
          </w:tcPr>
          <w:p w14:paraId="1931A35A"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14,665</w:t>
            </w:r>
          </w:p>
        </w:tc>
        <w:tc>
          <w:tcPr>
            <w:tcW w:w="161" w:type="pct"/>
          </w:tcPr>
          <w:p w14:paraId="205472A3"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0.993</w:t>
            </w:r>
          </w:p>
        </w:tc>
        <w:tc>
          <w:tcPr>
            <w:tcW w:w="199" w:type="pct"/>
          </w:tcPr>
          <w:p w14:paraId="62BEA0DE" w14:textId="552629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386</w:t>
            </w:r>
          </w:p>
        </w:tc>
        <w:tc>
          <w:tcPr>
            <w:tcW w:w="199" w:type="pct"/>
          </w:tcPr>
          <w:p w14:paraId="462E53B1" w14:textId="24A3431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386</w:t>
            </w:r>
          </w:p>
        </w:tc>
        <w:tc>
          <w:tcPr>
            <w:tcW w:w="199" w:type="pct"/>
          </w:tcPr>
          <w:p w14:paraId="7A4D8E7B" w14:textId="2B971A2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386</w:t>
            </w:r>
          </w:p>
        </w:tc>
        <w:tc>
          <w:tcPr>
            <w:tcW w:w="199" w:type="pct"/>
          </w:tcPr>
          <w:p w14:paraId="0C5FF514" w14:textId="5B4043D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5849C56C" w14:textId="1DA5BDD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2127B32D" w14:textId="2A4E8DE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0B119141" w14:textId="77AE39E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3BFE1E2A" w14:textId="037EED0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1ED809E6" w14:textId="1673C71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610091D2" w14:textId="47D32F3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6DE71A40" w14:textId="77125A4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55E6F7D8" w14:textId="40136FA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18BEF735" w14:textId="7C97976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199" w:type="pct"/>
          </w:tcPr>
          <w:p w14:paraId="711E68A5" w14:textId="70A1B89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6A16B37" w14:textId="07A537D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99AFEC2" w14:textId="494DDBD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7A2C5A40" w14:textId="287EE1F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7530F23E"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BB75346" w14:textId="77777777" w:rsidR="00F8548D" w:rsidRDefault="00F8548D" w:rsidP="00F8548D">
            <w:pPr>
              <w:pStyle w:val="TableLeftText"/>
            </w:pPr>
            <w:r>
              <w:rPr>
                <w:color w:val="4A4D56"/>
              </w:rPr>
              <w:t>Market Rate Single Family Initiative</w:t>
            </w:r>
          </w:p>
        </w:tc>
        <w:tc>
          <w:tcPr>
            <w:tcW w:w="151" w:type="pct"/>
          </w:tcPr>
          <w:p w14:paraId="63025B20"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16.1</w:t>
            </w:r>
          </w:p>
        </w:tc>
        <w:tc>
          <w:tcPr>
            <w:tcW w:w="355" w:type="pct"/>
          </w:tcPr>
          <w:p w14:paraId="6C6ECB64"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11,492</w:t>
            </w:r>
          </w:p>
        </w:tc>
        <w:tc>
          <w:tcPr>
            <w:tcW w:w="161" w:type="pct"/>
          </w:tcPr>
          <w:p w14:paraId="717DA353"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0.780</w:t>
            </w:r>
          </w:p>
        </w:tc>
        <w:tc>
          <w:tcPr>
            <w:tcW w:w="199" w:type="pct"/>
          </w:tcPr>
          <w:p w14:paraId="7BEFABD9" w14:textId="274599F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944</w:t>
            </w:r>
          </w:p>
        </w:tc>
        <w:tc>
          <w:tcPr>
            <w:tcW w:w="199" w:type="pct"/>
          </w:tcPr>
          <w:p w14:paraId="34A0980C" w14:textId="4822B21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104</w:t>
            </w:r>
          </w:p>
        </w:tc>
        <w:tc>
          <w:tcPr>
            <w:tcW w:w="199" w:type="pct"/>
          </w:tcPr>
          <w:p w14:paraId="0FF5D3B6" w14:textId="69F84D7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89</w:t>
            </w:r>
          </w:p>
        </w:tc>
        <w:tc>
          <w:tcPr>
            <w:tcW w:w="199" w:type="pct"/>
          </w:tcPr>
          <w:p w14:paraId="64C7AE4E" w14:textId="6214EB0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5B76C139" w14:textId="71E5B23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75DF8E35" w14:textId="64611742"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1C5F73AD" w14:textId="7A11B75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14E58765" w14:textId="318B365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4487F579" w14:textId="23C9C48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2EE0FD3F" w14:textId="00651A4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08602F02" w14:textId="58C9537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6CF82063" w14:textId="73A9317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05FF6CCE" w14:textId="5323D4E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58</w:t>
            </w:r>
          </w:p>
        </w:tc>
        <w:tc>
          <w:tcPr>
            <w:tcW w:w="199" w:type="pct"/>
          </w:tcPr>
          <w:p w14:paraId="32FDD19C" w14:textId="12890B18"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E5F1F0B" w14:textId="49937F4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236CCE0" w14:textId="40AEF9D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7B5E8C15" w14:textId="53FA192D"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3C2E2E65"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1CA3506" w14:textId="77777777" w:rsidR="00F8548D" w:rsidRDefault="00F8548D" w:rsidP="00F8548D">
            <w:pPr>
              <w:pStyle w:val="TableLeftText"/>
            </w:pPr>
            <w:r>
              <w:rPr>
                <w:color w:val="4A4D56"/>
              </w:rPr>
              <w:t>Kits Initiatives</w:t>
            </w:r>
          </w:p>
        </w:tc>
        <w:tc>
          <w:tcPr>
            <w:tcW w:w="151" w:type="pct"/>
          </w:tcPr>
          <w:p w14:paraId="756114CC"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355" w:type="pct"/>
          </w:tcPr>
          <w:p w14:paraId="2867CC6C"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13,789</w:t>
            </w:r>
          </w:p>
        </w:tc>
        <w:tc>
          <w:tcPr>
            <w:tcW w:w="161" w:type="pct"/>
          </w:tcPr>
          <w:p w14:paraId="311A1DE2"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1.000</w:t>
            </w:r>
          </w:p>
        </w:tc>
        <w:tc>
          <w:tcPr>
            <w:tcW w:w="199" w:type="pct"/>
          </w:tcPr>
          <w:p w14:paraId="51F927FD" w14:textId="147AFD4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w:t>
            </w:r>
          </w:p>
        </w:tc>
        <w:tc>
          <w:tcPr>
            <w:tcW w:w="199" w:type="pct"/>
          </w:tcPr>
          <w:p w14:paraId="5E7FFA49" w14:textId="0D934BB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w:t>
            </w:r>
          </w:p>
        </w:tc>
        <w:tc>
          <w:tcPr>
            <w:tcW w:w="199" w:type="pct"/>
          </w:tcPr>
          <w:p w14:paraId="6EB1B981" w14:textId="4C07304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w:t>
            </w:r>
          </w:p>
        </w:tc>
        <w:tc>
          <w:tcPr>
            <w:tcW w:w="199" w:type="pct"/>
          </w:tcPr>
          <w:p w14:paraId="332674C9" w14:textId="49571E0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55B24A6" w14:textId="53B134D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499E824" w14:textId="78E54F6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F6BA63D" w14:textId="7C55DE2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FD5410F" w14:textId="006CA54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32DC08D" w14:textId="6D3B7C9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D40D4D6" w14:textId="05015C9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B31F9FE" w14:textId="2DC4E12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75086F9" w14:textId="0C24948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756E87A" w14:textId="2E8CA46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C21916D" w14:textId="5AF4EEE7"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D4B4CC" w14:textId="586A2DE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128EAC6" w14:textId="537573C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59C380B9" w14:textId="5CA289B5"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3932391F"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2B6B5D4" w14:textId="77777777" w:rsidR="00F8548D" w:rsidRDefault="00F8548D" w:rsidP="00F8548D">
            <w:pPr>
              <w:pStyle w:val="TableLeftText"/>
            </w:pPr>
            <w:r>
              <w:rPr>
                <w:color w:val="4A4D56"/>
              </w:rPr>
              <w:t>Residential Carryover</w:t>
            </w:r>
          </w:p>
        </w:tc>
        <w:tc>
          <w:tcPr>
            <w:tcW w:w="151" w:type="pct"/>
          </w:tcPr>
          <w:p w14:paraId="466A5763"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9.7</w:t>
            </w:r>
          </w:p>
        </w:tc>
        <w:tc>
          <w:tcPr>
            <w:tcW w:w="355" w:type="pct"/>
          </w:tcPr>
          <w:p w14:paraId="78A754D7"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10,264</w:t>
            </w:r>
          </w:p>
        </w:tc>
        <w:tc>
          <w:tcPr>
            <w:tcW w:w="161" w:type="pct"/>
          </w:tcPr>
          <w:p w14:paraId="466EC12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0.813</w:t>
            </w:r>
          </w:p>
        </w:tc>
        <w:tc>
          <w:tcPr>
            <w:tcW w:w="199" w:type="pct"/>
          </w:tcPr>
          <w:p w14:paraId="21F5CBF8" w14:textId="5B4A48E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D9E9CCB" w14:textId="47B9F70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8F1FE52" w14:textId="761175D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6B68340" w14:textId="6D768CE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2D62B01" w14:textId="4D4ED7C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D3CAFD5" w14:textId="7EA23246"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C3282DB" w14:textId="6796199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8D2C46E" w14:textId="7E71392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8C684A2" w14:textId="4BA9876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2DAF811" w14:textId="750CAAB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56B8D61" w14:textId="784A2A7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A1B769E" w14:textId="3673643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AA23D99" w14:textId="2B550E3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D220B3F" w14:textId="6D9EB720"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E16429C" w14:textId="59BAE49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7062286" w14:textId="31A8759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4167764D" w14:textId="107613DC"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29A667FD"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6C6293C" w14:textId="77777777" w:rsidR="00F8548D" w:rsidRDefault="00F8548D" w:rsidP="00F8548D">
            <w:pPr>
              <w:pStyle w:val="TableLeftText"/>
            </w:pPr>
            <w:r>
              <w:rPr>
                <w:color w:val="4A4D56"/>
              </w:rPr>
              <w:t>Residential NPSO</w:t>
            </w:r>
          </w:p>
        </w:tc>
        <w:tc>
          <w:tcPr>
            <w:tcW w:w="151" w:type="pct"/>
          </w:tcPr>
          <w:p w14:paraId="0B28CDDF"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12.2</w:t>
            </w:r>
          </w:p>
        </w:tc>
        <w:tc>
          <w:tcPr>
            <w:tcW w:w="355" w:type="pct"/>
          </w:tcPr>
          <w:p w14:paraId="376EAD25"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61" w:type="pct"/>
          </w:tcPr>
          <w:p w14:paraId="2BF522B5"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0.796</w:t>
            </w:r>
          </w:p>
        </w:tc>
        <w:tc>
          <w:tcPr>
            <w:tcW w:w="199" w:type="pct"/>
          </w:tcPr>
          <w:p w14:paraId="7641516B" w14:textId="0AF040C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38</w:t>
            </w:r>
          </w:p>
        </w:tc>
        <w:tc>
          <w:tcPr>
            <w:tcW w:w="199" w:type="pct"/>
          </w:tcPr>
          <w:p w14:paraId="42DD63A4" w14:textId="7FF4DFF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w:t>
            </w:r>
          </w:p>
        </w:tc>
        <w:tc>
          <w:tcPr>
            <w:tcW w:w="199" w:type="pct"/>
          </w:tcPr>
          <w:p w14:paraId="42446877" w14:textId="7EDB0D7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w:t>
            </w:r>
          </w:p>
        </w:tc>
        <w:tc>
          <w:tcPr>
            <w:tcW w:w="199" w:type="pct"/>
          </w:tcPr>
          <w:p w14:paraId="5568678F" w14:textId="3C2CBC3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2159B9FC" w14:textId="366BFE1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0A40B4A5" w14:textId="6BDED6B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6F5EC4FA" w14:textId="5F9D5F0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21B79D03" w14:textId="7F7D53B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1C0F4F0A" w14:textId="5DDA1B6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1257E909" w14:textId="120B593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5193ACCD" w14:textId="29224FC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29590699" w14:textId="35AF789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575ED20E" w14:textId="773BD48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w:t>
            </w:r>
          </w:p>
        </w:tc>
        <w:tc>
          <w:tcPr>
            <w:tcW w:w="199" w:type="pct"/>
          </w:tcPr>
          <w:p w14:paraId="6BAD3EF2" w14:textId="7494983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054BE46" w14:textId="6B98CC6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148713" w14:textId="307D7FE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748EE9A5" w14:textId="0EA65D2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1E2AAD9A"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FF010ED" w14:textId="77777777" w:rsidR="00F8548D" w:rsidRDefault="00F8548D" w:rsidP="00F8548D">
            <w:pPr>
              <w:pStyle w:val="TableLeftText"/>
            </w:pPr>
            <w:r>
              <w:rPr>
                <w:color w:val="4A4D56"/>
              </w:rPr>
              <w:t>Standard Initiative</w:t>
            </w:r>
          </w:p>
        </w:tc>
        <w:tc>
          <w:tcPr>
            <w:tcW w:w="151" w:type="pct"/>
          </w:tcPr>
          <w:p w14:paraId="67C640E4"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12.8</w:t>
            </w:r>
          </w:p>
        </w:tc>
        <w:tc>
          <w:tcPr>
            <w:tcW w:w="355" w:type="pct"/>
          </w:tcPr>
          <w:p w14:paraId="3BB46124"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66,267</w:t>
            </w:r>
          </w:p>
        </w:tc>
        <w:tc>
          <w:tcPr>
            <w:tcW w:w="161" w:type="pct"/>
          </w:tcPr>
          <w:p w14:paraId="11FF74A7"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0.909</w:t>
            </w:r>
          </w:p>
        </w:tc>
        <w:tc>
          <w:tcPr>
            <w:tcW w:w="199" w:type="pct"/>
          </w:tcPr>
          <w:p w14:paraId="102AE497" w14:textId="72C4714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589037FD" w14:textId="4B1CE11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2FC0DB86" w14:textId="70DE890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14B26BC4" w14:textId="7C86FAD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1BDCE7A4" w14:textId="0D1E2AD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04AF4337" w14:textId="7BD0E50E"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295</w:t>
            </w:r>
          </w:p>
        </w:tc>
        <w:tc>
          <w:tcPr>
            <w:tcW w:w="199" w:type="pct"/>
          </w:tcPr>
          <w:p w14:paraId="52B25724" w14:textId="767340A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154</w:t>
            </w:r>
          </w:p>
        </w:tc>
        <w:tc>
          <w:tcPr>
            <w:tcW w:w="199" w:type="pct"/>
          </w:tcPr>
          <w:p w14:paraId="1EC5E8D5" w14:textId="06ECEC8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154</w:t>
            </w:r>
          </w:p>
        </w:tc>
        <w:tc>
          <w:tcPr>
            <w:tcW w:w="199" w:type="pct"/>
          </w:tcPr>
          <w:p w14:paraId="2981E44F" w14:textId="45E9364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72075A0" w14:textId="605C485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34D6D8B" w14:textId="6F9475D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C702F0F" w14:textId="1242286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6CA29D1" w14:textId="18AD28F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4B308D4" w14:textId="048CE8C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3664E95" w14:textId="6ABAAEB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6E1925A" w14:textId="022AADC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76B879EF" w14:textId="10B8273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5D449482"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652B673" w14:textId="77777777" w:rsidR="00F8548D" w:rsidRDefault="00F8548D" w:rsidP="00F8548D">
            <w:pPr>
              <w:pStyle w:val="TableLeftText"/>
            </w:pPr>
            <w:r>
              <w:rPr>
                <w:color w:val="4A4D56"/>
              </w:rPr>
              <w:t>Custom Initiative</w:t>
            </w:r>
          </w:p>
        </w:tc>
        <w:tc>
          <w:tcPr>
            <w:tcW w:w="151" w:type="pct"/>
          </w:tcPr>
          <w:p w14:paraId="0E2E3AE3"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18.3</w:t>
            </w:r>
          </w:p>
        </w:tc>
        <w:tc>
          <w:tcPr>
            <w:tcW w:w="355" w:type="pct"/>
          </w:tcPr>
          <w:p w14:paraId="1E95D987"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37,034</w:t>
            </w:r>
          </w:p>
        </w:tc>
        <w:tc>
          <w:tcPr>
            <w:tcW w:w="161" w:type="pct"/>
          </w:tcPr>
          <w:p w14:paraId="75C6D952"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0.813</w:t>
            </w:r>
          </w:p>
        </w:tc>
        <w:tc>
          <w:tcPr>
            <w:tcW w:w="199" w:type="pct"/>
          </w:tcPr>
          <w:p w14:paraId="688C115A" w14:textId="29D3562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14,511</w:t>
            </w:r>
          </w:p>
        </w:tc>
        <w:tc>
          <w:tcPr>
            <w:tcW w:w="199" w:type="pct"/>
          </w:tcPr>
          <w:p w14:paraId="60829F8E" w14:textId="20596BD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13,845</w:t>
            </w:r>
          </w:p>
        </w:tc>
        <w:tc>
          <w:tcPr>
            <w:tcW w:w="199" w:type="pct"/>
          </w:tcPr>
          <w:p w14:paraId="0E300014" w14:textId="65EEF7C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13,845</w:t>
            </w:r>
          </w:p>
        </w:tc>
        <w:tc>
          <w:tcPr>
            <w:tcW w:w="199" w:type="pct"/>
          </w:tcPr>
          <w:p w14:paraId="627FAB8C" w14:textId="79ED71A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12,847</w:t>
            </w:r>
          </w:p>
        </w:tc>
        <w:tc>
          <w:tcPr>
            <w:tcW w:w="199" w:type="pct"/>
          </w:tcPr>
          <w:p w14:paraId="56E5011C" w14:textId="6F6D556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12,729</w:t>
            </w:r>
          </w:p>
        </w:tc>
        <w:tc>
          <w:tcPr>
            <w:tcW w:w="199" w:type="pct"/>
          </w:tcPr>
          <w:p w14:paraId="2A68748D" w14:textId="6034F322"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12,556</w:t>
            </w:r>
          </w:p>
        </w:tc>
        <w:tc>
          <w:tcPr>
            <w:tcW w:w="199" w:type="pct"/>
          </w:tcPr>
          <w:p w14:paraId="044C15D9" w14:textId="09F76D8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3,907</w:t>
            </w:r>
          </w:p>
        </w:tc>
        <w:tc>
          <w:tcPr>
            <w:tcW w:w="199" w:type="pct"/>
          </w:tcPr>
          <w:p w14:paraId="75EEEA63" w14:textId="362CAC1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3,756</w:t>
            </w:r>
          </w:p>
        </w:tc>
        <w:tc>
          <w:tcPr>
            <w:tcW w:w="199" w:type="pct"/>
          </w:tcPr>
          <w:p w14:paraId="69A2DFE2" w14:textId="5F15FFF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601</w:t>
            </w:r>
          </w:p>
        </w:tc>
        <w:tc>
          <w:tcPr>
            <w:tcW w:w="199" w:type="pct"/>
          </w:tcPr>
          <w:p w14:paraId="2873CE20" w14:textId="23528A4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601</w:t>
            </w:r>
          </w:p>
        </w:tc>
        <w:tc>
          <w:tcPr>
            <w:tcW w:w="199" w:type="pct"/>
          </w:tcPr>
          <w:p w14:paraId="7DB7601D" w14:textId="2C62DF3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601</w:t>
            </w:r>
          </w:p>
        </w:tc>
        <w:tc>
          <w:tcPr>
            <w:tcW w:w="199" w:type="pct"/>
          </w:tcPr>
          <w:p w14:paraId="7EEF251A" w14:textId="2B5E39B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601</w:t>
            </w:r>
          </w:p>
        </w:tc>
        <w:tc>
          <w:tcPr>
            <w:tcW w:w="199" w:type="pct"/>
          </w:tcPr>
          <w:p w14:paraId="376F5E4B" w14:textId="2EBCFB2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601</w:t>
            </w:r>
          </w:p>
        </w:tc>
        <w:tc>
          <w:tcPr>
            <w:tcW w:w="199" w:type="pct"/>
          </w:tcPr>
          <w:p w14:paraId="468122DC" w14:textId="1AC17D9C"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32333ED" w14:textId="709929A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588BFB6A" w14:textId="0AC241E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2" w:type="pct"/>
          </w:tcPr>
          <w:p w14:paraId="0D38F611" w14:textId="3EE7E30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26</w:t>
            </w:r>
          </w:p>
        </w:tc>
      </w:tr>
      <w:tr w:rsidR="00F8548D" w14:paraId="22951AB2"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B02311F" w14:textId="77777777" w:rsidR="00F8548D" w:rsidRDefault="00F8548D" w:rsidP="00F8548D">
            <w:pPr>
              <w:pStyle w:val="TableLeftText"/>
            </w:pPr>
            <w:r>
              <w:rPr>
                <w:color w:val="4A4D56"/>
              </w:rPr>
              <w:t>Retro-Commissioning Initiative</w:t>
            </w:r>
          </w:p>
        </w:tc>
        <w:tc>
          <w:tcPr>
            <w:tcW w:w="151" w:type="pct"/>
          </w:tcPr>
          <w:p w14:paraId="0E232956"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w:t>
            </w:r>
          </w:p>
        </w:tc>
        <w:tc>
          <w:tcPr>
            <w:tcW w:w="355" w:type="pct"/>
          </w:tcPr>
          <w:p w14:paraId="75F58F1F"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7,618</w:t>
            </w:r>
          </w:p>
        </w:tc>
        <w:tc>
          <w:tcPr>
            <w:tcW w:w="161" w:type="pct"/>
          </w:tcPr>
          <w:p w14:paraId="68809205"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0.945</w:t>
            </w:r>
          </w:p>
        </w:tc>
        <w:tc>
          <w:tcPr>
            <w:tcW w:w="199" w:type="pct"/>
          </w:tcPr>
          <w:p w14:paraId="276EAA1A" w14:textId="633EDF3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B806A94" w14:textId="35D052D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885A660" w14:textId="6C469E7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A4C9F51" w14:textId="322C654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888DC97" w14:textId="18823D1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583517D" w14:textId="4C82E9E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9DA10F0" w14:textId="0863F6F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DC88993" w14:textId="64A335D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152A3B3" w14:textId="1BEDA70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A5EAE97" w14:textId="0B51A8E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D5CC945" w14:textId="2851B7F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BA24F61" w14:textId="3D7E57F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CCC2B0F" w14:textId="52FB211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F9CAACD" w14:textId="189B5F02"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85157D5" w14:textId="44A936A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3A36CA7" w14:textId="4B5CE6C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5F8C408C" w14:textId="01A9566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16AF7526"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D2DDE5A" w14:textId="77777777" w:rsidR="00F8548D" w:rsidRDefault="00F8548D" w:rsidP="00F8548D">
            <w:pPr>
              <w:pStyle w:val="TableLeftText"/>
            </w:pPr>
            <w:r>
              <w:rPr>
                <w:color w:val="4A4D56"/>
              </w:rPr>
              <w:t>Streetlighting Initiative</w:t>
            </w:r>
          </w:p>
        </w:tc>
        <w:tc>
          <w:tcPr>
            <w:tcW w:w="151" w:type="pct"/>
          </w:tcPr>
          <w:p w14:paraId="73B80BAB"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20.0</w:t>
            </w:r>
          </w:p>
        </w:tc>
        <w:tc>
          <w:tcPr>
            <w:tcW w:w="355" w:type="pct"/>
          </w:tcPr>
          <w:p w14:paraId="76A48B51"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12,566</w:t>
            </w:r>
          </w:p>
        </w:tc>
        <w:tc>
          <w:tcPr>
            <w:tcW w:w="161" w:type="pct"/>
          </w:tcPr>
          <w:p w14:paraId="2181875B"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0.999</w:t>
            </w:r>
          </w:p>
        </w:tc>
        <w:tc>
          <w:tcPr>
            <w:tcW w:w="199" w:type="pct"/>
          </w:tcPr>
          <w:p w14:paraId="01327B50" w14:textId="1277C68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08B169F5" w14:textId="78D5E5D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193A90D5" w14:textId="7C0DB56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11,851</w:t>
            </w:r>
          </w:p>
        </w:tc>
        <w:tc>
          <w:tcPr>
            <w:tcW w:w="199" w:type="pct"/>
          </w:tcPr>
          <w:p w14:paraId="76D2FC87" w14:textId="58E7F81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72EB1A2" w14:textId="71625C4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56142FB" w14:textId="390E0A4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F537AB1" w14:textId="6C0B09F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096942B" w14:textId="255A290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BBF147C" w14:textId="0E40DB1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C818AE1" w14:textId="6D8AEBD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0B98532" w14:textId="6EFB550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837B67D" w14:textId="0F3F783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C60C5C2" w14:textId="7DE6D91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78F6FFA" w14:textId="2112AB9C"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4C7B51E" w14:textId="28ED14E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C7C1DEF" w14:textId="7AC43D3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20953218" w14:textId="4BDADCB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75145FE4"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42DEFA5" w14:textId="77777777" w:rsidR="00F8548D" w:rsidRDefault="00F8548D" w:rsidP="00F8548D">
            <w:pPr>
              <w:pStyle w:val="TableLeftText"/>
            </w:pPr>
            <w:r>
              <w:rPr>
                <w:color w:val="4A4D56"/>
              </w:rPr>
              <w:t>Small Business Initiative</w:t>
            </w:r>
          </w:p>
        </w:tc>
        <w:tc>
          <w:tcPr>
            <w:tcW w:w="151" w:type="pct"/>
          </w:tcPr>
          <w:p w14:paraId="514F79A9"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13.7</w:t>
            </w:r>
          </w:p>
        </w:tc>
        <w:tc>
          <w:tcPr>
            <w:tcW w:w="355" w:type="pct"/>
          </w:tcPr>
          <w:p w14:paraId="70FB37BC"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35,240</w:t>
            </w:r>
          </w:p>
        </w:tc>
        <w:tc>
          <w:tcPr>
            <w:tcW w:w="161" w:type="pct"/>
          </w:tcPr>
          <w:p w14:paraId="70962459"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0.917</w:t>
            </w:r>
          </w:p>
        </w:tc>
        <w:tc>
          <w:tcPr>
            <w:tcW w:w="199" w:type="pct"/>
          </w:tcPr>
          <w:p w14:paraId="4AFD70AE" w14:textId="32E9BB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223</w:t>
            </w:r>
          </w:p>
        </w:tc>
        <w:tc>
          <w:tcPr>
            <w:tcW w:w="199" w:type="pct"/>
          </w:tcPr>
          <w:p w14:paraId="77D890E9" w14:textId="0D71F05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223</w:t>
            </w:r>
          </w:p>
        </w:tc>
        <w:tc>
          <w:tcPr>
            <w:tcW w:w="199" w:type="pct"/>
          </w:tcPr>
          <w:p w14:paraId="4A3C2258" w14:textId="2880F62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223</w:t>
            </w:r>
          </w:p>
        </w:tc>
        <w:tc>
          <w:tcPr>
            <w:tcW w:w="199" w:type="pct"/>
          </w:tcPr>
          <w:p w14:paraId="7FFE72CA" w14:textId="2B7D6A4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w:t>
            </w:r>
          </w:p>
        </w:tc>
        <w:tc>
          <w:tcPr>
            <w:tcW w:w="199" w:type="pct"/>
          </w:tcPr>
          <w:p w14:paraId="5F86B401" w14:textId="35344E7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w:t>
            </w:r>
          </w:p>
        </w:tc>
        <w:tc>
          <w:tcPr>
            <w:tcW w:w="199" w:type="pct"/>
          </w:tcPr>
          <w:p w14:paraId="4DB477AF" w14:textId="70B4E36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w:t>
            </w:r>
          </w:p>
        </w:tc>
        <w:tc>
          <w:tcPr>
            <w:tcW w:w="199" w:type="pct"/>
          </w:tcPr>
          <w:p w14:paraId="1F604EF1" w14:textId="2A10B05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w:t>
            </w:r>
          </w:p>
        </w:tc>
        <w:tc>
          <w:tcPr>
            <w:tcW w:w="199" w:type="pct"/>
          </w:tcPr>
          <w:p w14:paraId="4CC12946" w14:textId="73A934F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4</w:t>
            </w:r>
          </w:p>
        </w:tc>
        <w:tc>
          <w:tcPr>
            <w:tcW w:w="199" w:type="pct"/>
          </w:tcPr>
          <w:p w14:paraId="29594556" w14:textId="45F8D21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0C5C517" w14:textId="1E4C938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E26DCD2" w14:textId="3A02C6B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3F2397B" w14:textId="34E73E5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E9411AF" w14:textId="586BE5E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1770C90" w14:textId="0E90DB0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F29CDAD" w14:textId="2F5EC3A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1C425C2" w14:textId="1D5DA30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0CE9815C" w14:textId="312F80E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461626C1"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9AF93E2" w14:textId="77777777" w:rsidR="00F8548D" w:rsidRDefault="00F8548D" w:rsidP="00F8548D">
            <w:pPr>
              <w:pStyle w:val="TableLeftText"/>
            </w:pPr>
            <w:r>
              <w:rPr>
                <w:color w:val="4A4D56"/>
              </w:rPr>
              <w:t>Midstream Initiative</w:t>
            </w:r>
          </w:p>
        </w:tc>
        <w:tc>
          <w:tcPr>
            <w:tcW w:w="151" w:type="pct"/>
          </w:tcPr>
          <w:p w14:paraId="4FC907DD"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14.8</w:t>
            </w:r>
          </w:p>
        </w:tc>
        <w:tc>
          <w:tcPr>
            <w:tcW w:w="355" w:type="pct"/>
          </w:tcPr>
          <w:p w14:paraId="6E3F7D0D"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30,451</w:t>
            </w:r>
          </w:p>
        </w:tc>
        <w:tc>
          <w:tcPr>
            <w:tcW w:w="161" w:type="pct"/>
          </w:tcPr>
          <w:p w14:paraId="14AD5EC6"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0.974</w:t>
            </w:r>
          </w:p>
        </w:tc>
        <w:tc>
          <w:tcPr>
            <w:tcW w:w="199" w:type="pct"/>
          </w:tcPr>
          <w:p w14:paraId="5A199FEE" w14:textId="4833D77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w:t>
            </w:r>
          </w:p>
        </w:tc>
        <w:tc>
          <w:tcPr>
            <w:tcW w:w="199" w:type="pct"/>
          </w:tcPr>
          <w:p w14:paraId="24194AAC" w14:textId="691B5B7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w:t>
            </w:r>
          </w:p>
        </w:tc>
        <w:tc>
          <w:tcPr>
            <w:tcW w:w="199" w:type="pct"/>
          </w:tcPr>
          <w:p w14:paraId="795280D2" w14:textId="1A83532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w:t>
            </w:r>
          </w:p>
        </w:tc>
        <w:tc>
          <w:tcPr>
            <w:tcW w:w="199" w:type="pct"/>
          </w:tcPr>
          <w:p w14:paraId="6D24FE69" w14:textId="67344F9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F40E161" w14:textId="54E1BC6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7131AFC" w14:textId="69EE5A40"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2FEF9BB" w14:textId="14AD575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ABF6003" w14:textId="60061AC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AD32E47" w14:textId="791117E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2A335CD" w14:textId="3CB71BF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A53FBC5" w14:textId="570555D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2EEAFFA" w14:textId="716D468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9E1C398" w14:textId="05DBEA0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519536D" w14:textId="7A11E90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7A21F5D" w14:textId="1CD0B8F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19A176A" w14:textId="5DC74D4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6F81152C" w14:textId="0F5D6D3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640FD780"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5AD997FF" w14:textId="77777777" w:rsidR="00F8548D" w:rsidRDefault="00F8548D" w:rsidP="00F8548D">
            <w:pPr>
              <w:pStyle w:val="TableLeftText"/>
            </w:pPr>
            <w:r>
              <w:rPr>
                <w:color w:val="4A4D56"/>
              </w:rPr>
              <w:t>Business Carryover</w:t>
            </w:r>
          </w:p>
        </w:tc>
        <w:tc>
          <w:tcPr>
            <w:tcW w:w="151" w:type="pct"/>
          </w:tcPr>
          <w:p w14:paraId="68A90254"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14.6</w:t>
            </w:r>
          </w:p>
        </w:tc>
        <w:tc>
          <w:tcPr>
            <w:tcW w:w="355" w:type="pct"/>
          </w:tcPr>
          <w:p w14:paraId="36CB318C"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3,543</w:t>
            </w:r>
          </w:p>
        </w:tc>
        <w:tc>
          <w:tcPr>
            <w:tcW w:w="161" w:type="pct"/>
          </w:tcPr>
          <w:p w14:paraId="2C38AA51"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0.913</w:t>
            </w:r>
          </w:p>
        </w:tc>
        <w:tc>
          <w:tcPr>
            <w:tcW w:w="199" w:type="pct"/>
          </w:tcPr>
          <w:p w14:paraId="14EAB2D4" w14:textId="7898F7C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ADB3AD9" w14:textId="5BAB899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76D436B" w14:textId="20FD3D6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5C01645" w14:textId="0E382D4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52329F6" w14:textId="1789980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10D947C" w14:textId="1AF3AF83"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1065C3F" w14:textId="669A32D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C0DB8D3" w14:textId="5A7419B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5784BA0" w14:textId="7905B3F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2F9EBDA" w14:textId="4F40C17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8D9E2EA" w14:textId="392E06B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9E2E0E2" w14:textId="66CD69A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FDA0894" w14:textId="4B4B454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A8804BB" w14:textId="0F6CEB7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F2A7A95" w14:textId="4B8EF0E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BADA19D" w14:textId="6203815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6F1DC4B2" w14:textId="320A5AF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66A5057A"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ECB26A3" w14:textId="77777777" w:rsidR="00F8548D" w:rsidRDefault="00F8548D" w:rsidP="00F8548D">
            <w:pPr>
              <w:pStyle w:val="TableLeftText"/>
            </w:pPr>
            <w:r>
              <w:rPr>
                <w:color w:val="4A4D56"/>
              </w:rPr>
              <w:t>(b-25) Conversions</w:t>
            </w:r>
          </w:p>
        </w:tc>
        <w:tc>
          <w:tcPr>
            <w:tcW w:w="151" w:type="pct"/>
          </w:tcPr>
          <w:p w14:paraId="62960C96"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24.7</w:t>
            </w:r>
          </w:p>
        </w:tc>
        <w:tc>
          <w:tcPr>
            <w:tcW w:w="355" w:type="pct"/>
          </w:tcPr>
          <w:p w14:paraId="316DBA5F"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52,789</w:t>
            </w:r>
          </w:p>
        </w:tc>
        <w:tc>
          <w:tcPr>
            <w:tcW w:w="161" w:type="pct"/>
          </w:tcPr>
          <w:p w14:paraId="5993AD38"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0.804</w:t>
            </w:r>
          </w:p>
        </w:tc>
        <w:tc>
          <w:tcPr>
            <w:tcW w:w="199" w:type="pct"/>
          </w:tcPr>
          <w:p w14:paraId="11692DF7" w14:textId="099D968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42,392</w:t>
            </w:r>
          </w:p>
        </w:tc>
        <w:tc>
          <w:tcPr>
            <w:tcW w:w="199" w:type="pct"/>
          </w:tcPr>
          <w:p w14:paraId="0B15106F" w14:textId="32CDFE4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42,392</w:t>
            </w:r>
          </w:p>
        </w:tc>
        <w:tc>
          <w:tcPr>
            <w:tcW w:w="199" w:type="pct"/>
          </w:tcPr>
          <w:p w14:paraId="4224328A" w14:textId="7290870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42,392</w:t>
            </w:r>
          </w:p>
        </w:tc>
        <w:tc>
          <w:tcPr>
            <w:tcW w:w="199" w:type="pct"/>
          </w:tcPr>
          <w:p w14:paraId="01B3A52A" w14:textId="608AC1A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42,382</w:t>
            </w:r>
          </w:p>
        </w:tc>
        <w:tc>
          <w:tcPr>
            <w:tcW w:w="199" w:type="pct"/>
          </w:tcPr>
          <w:p w14:paraId="63D3E53E" w14:textId="7401A04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42,382</w:t>
            </w:r>
          </w:p>
        </w:tc>
        <w:tc>
          <w:tcPr>
            <w:tcW w:w="199" w:type="pct"/>
          </w:tcPr>
          <w:p w14:paraId="530E6313" w14:textId="1599D91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41,462</w:t>
            </w:r>
          </w:p>
        </w:tc>
        <w:tc>
          <w:tcPr>
            <w:tcW w:w="199" w:type="pct"/>
          </w:tcPr>
          <w:p w14:paraId="69FBC1CB" w14:textId="409DDEB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41,462</w:t>
            </w:r>
          </w:p>
        </w:tc>
        <w:tc>
          <w:tcPr>
            <w:tcW w:w="199" w:type="pct"/>
          </w:tcPr>
          <w:p w14:paraId="7A46662E" w14:textId="5EE38CD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41,462</w:t>
            </w:r>
          </w:p>
        </w:tc>
        <w:tc>
          <w:tcPr>
            <w:tcW w:w="199" w:type="pct"/>
          </w:tcPr>
          <w:p w14:paraId="79CADFF4" w14:textId="362299D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w:t>
            </w:r>
          </w:p>
        </w:tc>
        <w:tc>
          <w:tcPr>
            <w:tcW w:w="199" w:type="pct"/>
          </w:tcPr>
          <w:p w14:paraId="76FE8D8C" w14:textId="4D91633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w:t>
            </w:r>
          </w:p>
        </w:tc>
        <w:tc>
          <w:tcPr>
            <w:tcW w:w="199" w:type="pct"/>
          </w:tcPr>
          <w:p w14:paraId="1E892215" w14:textId="5C8F41D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w:t>
            </w:r>
          </w:p>
        </w:tc>
        <w:tc>
          <w:tcPr>
            <w:tcW w:w="199" w:type="pct"/>
          </w:tcPr>
          <w:p w14:paraId="0DED3A9A" w14:textId="0670E7B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w:t>
            </w:r>
          </w:p>
        </w:tc>
        <w:tc>
          <w:tcPr>
            <w:tcW w:w="199" w:type="pct"/>
          </w:tcPr>
          <w:p w14:paraId="60EDD78C" w14:textId="1D477D3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w:t>
            </w:r>
          </w:p>
        </w:tc>
        <w:tc>
          <w:tcPr>
            <w:tcW w:w="199" w:type="pct"/>
          </w:tcPr>
          <w:p w14:paraId="1F72F924" w14:textId="1FABD04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8CCA768" w14:textId="5BE48A2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3F05A3" w14:textId="74D0FFB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52C83BA5" w14:textId="15C1D06A"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481D4CE9"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3CFFFAC" w14:textId="77777777" w:rsidR="00F8548D" w:rsidRDefault="00F8548D" w:rsidP="00F8548D">
            <w:pPr>
              <w:pStyle w:val="TableLeftText"/>
            </w:pPr>
            <w:r>
              <w:rPr>
                <w:color w:val="4A4D56"/>
              </w:rPr>
              <w:t>Voltage Optimization Program</w:t>
            </w:r>
          </w:p>
        </w:tc>
        <w:tc>
          <w:tcPr>
            <w:tcW w:w="151" w:type="pct"/>
          </w:tcPr>
          <w:p w14:paraId="3D9047F8"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15.0</w:t>
            </w:r>
          </w:p>
        </w:tc>
        <w:tc>
          <w:tcPr>
            <w:tcW w:w="355" w:type="pct"/>
          </w:tcPr>
          <w:p w14:paraId="6325D0C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61" w:type="pct"/>
          </w:tcPr>
          <w:p w14:paraId="3CC85543"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6C7BD0CA" w14:textId="1043912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505D356" w14:textId="791EEA9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B89711F" w14:textId="2449C93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2C574CC" w14:textId="6D7CFD5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C1E9B56" w14:textId="361860F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D3A1B4B" w14:textId="69032BA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935D932" w14:textId="0BC5396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1DA41E9" w14:textId="08866B9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D1F4D1A" w14:textId="1F459C0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4DDC6E5" w14:textId="5C4F388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B2420FA" w14:textId="7C96294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411CBE0" w14:textId="3F39B5E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9C6F491" w14:textId="770A261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0A12E40" w14:textId="59290628"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2782357" w14:textId="05C62CB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5F0B57F" w14:textId="27318DD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6E6F8A66" w14:textId="66C1899E"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232E7F3B"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271C692D"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tcBorders>
            <w:shd w:val="clear" w:color="auto" w:fill="D9D9D9"/>
          </w:tcPr>
          <w:p w14:paraId="07FBB7B8"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355" w:type="pct"/>
            <w:shd w:val="clear" w:color="auto" w:fill="D9D9D9"/>
          </w:tcPr>
          <w:p w14:paraId="5EC3D58C"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482,472</w:t>
            </w:r>
          </w:p>
        </w:tc>
        <w:tc>
          <w:tcPr>
            <w:tcW w:w="161" w:type="pct"/>
            <w:shd w:val="clear" w:color="auto" w:fill="D9D9D9"/>
          </w:tcPr>
          <w:p w14:paraId="19E4558C"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0.910</w:t>
            </w:r>
          </w:p>
        </w:tc>
        <w:tc>
          <w:tcPr>
            <w:tcW w:w="199" w:type="pct"/>
            <w:shd w:val="clear" w:color="auto" w:fill="D9D9D9"/>
          </w:tcPr>
          <w:p w14:paraId="67B28EBC" w14:textId="2B16EAFB"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73,811</w:t>
            </w:r>
          </w:p>
        </w:tc>
        <w:tc>
          <w:tcPr>
            <w:tcW w:w="199" w:type="pct"/>
            <w:shd w:val="clear" w:color="auto" w:fill="D9D9D9"/>
          </w:tcPr>
          <w:p w14:paraId="481AA8F3" w14:textId="4BBEFB8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72,237</w:t>
            </w:r>
          </w:p>
        </w:tc>
        <w:tc>
          <w:tcPr>
            <w:tcW w:w="199" w:type="pct"/>
            <w:shd w:val="clear" w:color="auto" w:fill="D9D9D9"/>
          </w:tcPr>
          <w:p w14:paraId="41D04646" w14:textId="2C562F8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71,903</w:t>
            </w:r>
          </w:p>
        </w:tc>
        <w:tc>
          <w:tcPr>
            <w:tcW w:w="199" w:type="pct"/>
            <w:shd w:val="clear" w:color="auto" w:fill="D9D9D9"/>
          </w:tcPr>
          <w:p w14:paraId="6E24B6A8" w14:textId="53BBEE3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56,433</w:t>
            </w:r>
          </w:p>
        </w:tc>
        <w:tc>
          <w:tcPr>
            <w:tcW w:w="199" w:type="pct"/>
            <w:shd w:val="clear" w:color="auto" w:fill="D9D9D9"/>
          </w:tcPr>
          <w:p w14:paraId="118032F6" w14:textId="13D9775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56,306</w:t>
            </w:r>
          </w:p>
        </w:tc>
        <w:tc>
          <w:tcPr>
            <w:tcW w:w="199" w:type="pct"/>
            <w:shd w:val="clear" w:color="auto" w:fill="D9D9D9"/>
          </w:tcPr>
          <w:p w14:paraId="7E2FB871" w14:textId="203F110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55,213</w:t>
            </w:r>
          </w:p>
        </w:tc>
        <w:tc>
          <w:tcPr>
            <w:tcW w:w="199" w:type="pct"/>
            <w:shd w:val="clear" w:color="auto" w:fill="D9D9D9"/>
          </w:tcPr>
          <w:p w14:paraId="07C3C648" w14:textId="14932C4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46,423</w:t>
            </w:r>
          </w:p>
        </w:tc>
        <w:tc>
          <w:tcPr>
            <w:tcW w:w="199" w:type="pct"/>
            <w:shd w:val="clear" w:color="auto" w:fill="D9D9D9"/>
          </w:tcPr>
          <w:p w14:paraId="7C9A7C1D" w14:textId="01DA8A9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46,272</w:t>
            </w:r>
          </w:p>
        </w:tc>
        <w:tc>
          <w:tcPr>
            <w:tcW w:w="199" w:type="pct"/>
            <w:shd w:val="clear" w:color="auto" w:fill="D9D9D9"/>
          </w:tcPr>
          <w:p w14:paraId="4D985B12" w14:textId="09582353"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1,520</w:t>
            </w:r>
          </w:p>
        </w:tc>
        <w:tc>
          <w:tcPr>
            <w:tcW w:w="199" w:type="pct"/>
            <w:shd w:val="clear" w:color="auto" w:fill="D9D9D9"/>
          </w:tcPr>
          <w:p w14:paraId="68EAA92A" w14:textId="3609E71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1,520</w:t>
            </w:r>
          </w:p>
        </w:tc>
        <w:tc>
          <w:tcPr>
            <w:tcW w:w="199" w:type="pct"/>
            <w:shd w:val="clear" w:color="auto" w:fill="D9D9D9"/>
          </w:tcPr>
          <w:p w14:paraId="0D68921E" w14:textId="484FC65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1,520</w:t>
            </w:r>
          </w:p>
        </w:tc>
        <w:tc>
          <w:tcPr>
            <w:tcW w:w="199" w:type="pct"/>
            <w:shd w:val="clear" w:color="auto" w:fill="D9D9D9"/>
          </w:tcPr>
          <w:p w14:paraId="7FBA44EA" w14:textId="5926660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1,520</w:t>
            </w:r>
          </w:p>
        </w:tc>
        <w:tc>
          <w:tcPr>
            <w:tcW w:w="199" w:type="pct"/>
            <w:shd w:val="clear" w:color="auto" w:fill="D9D9D9"/>
          </w:tcPr>
          <w:p w14:paraId="27F2B1CE" w14:textId="503BC74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1,520</w:t>
            </w:r>
          </w:p>
        </w:tc>
        <w:tc>
          <w:tcPr>
            <w:tcW w:w="199" w:type="pct"/>
            <w:shd w:val="clear" w:color="auto" w:fill="D9D9D9"/>
          </w:tcPr>
          <w:p w14:paraId="249BFBC9" w14:textId="3AC56442"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0F172098" w14:textId="4C44080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054A2124" w14:textId="729B27FB"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2" w:type="pct"/>
            <w:shd w:val="clear" w:color="auto" w:fill="D9D9D9"/>
          </w:tcPr>
          <w:p w14:paraId="07E62538" w14:textId="1C16A19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26</w:t>
            </w:r>
          </w:p>
        </w:tc>
      </w:tr>
      <w:tr w:rsidR="00F8548D" w14:paraId="18953B5D"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49D3C284"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Expiring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5BDA11C0"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57E7DDBF"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7532D0E9"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99" w:type="pct"/>
            <w:shd w:val="clear" w:color="auto" w:fill="D9D9D9"/>
          </w:tcPr>
          <w:p w14:paraId="39856365" w14:textId="09DCB341"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1,005</w:t>
            </w:r>
          </w:p>
        </w:tc>
        <w:tc>
          <w:tcPr>
            <w:tcW w:w="199" w:type="pct"/>
            <w:shd w:val="clear" w:color="auto" w:fill="D9D9D9"/>
          </w:tcPr>
          <w:p w14:paraId="4D42F122" w14:textId="02643C6B"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1,574</w:t>
            </w:r>
          </w:p>
        </w:tc>
        <w:tc>
          <w:tcPr>
            <w:tcW w:w="199" w:type="pct"/>
            <w:shd w:val="clear" w:color="auto" w:fill="D9D9D9"/>
          </w:tcPr>
          <w:p w14:paraId="1C297E38" w14:textId="5F3D7B50"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334</w:t>
            </w:r>
          </w:p>
        </w:tc>
        <w:tc>
          <w:tcPr>
            <w:tcW w:w="199" w:type="pct"/>
            <w:shd w:val="clear" w:color="auto" w:fill="D9D9D9"/>
          </w:tcPr>
          <w:p w14:paraId="7EDBEE26" w14:textId="155B0615"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15,470</w:t>
            </w:r>
          </w:p>
        </w:tc>
        <w:tc>
          <w:tcPr>
            <w:tcW w:w="199" w:type="pct"/>
            <w:shd w:val="clear" w:color="auto" w:fill="D9D9D9"/>
          </w:tcPr>
          <w:p w14:paraId="564C36C4" w14:textId="3BBD8AAE"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127</w:t>
            </w:r>
          </w:p>
        </w:tc>
        <w:tc>
          <w:tcPr>
            <w:tcW w:w="199" w:type="pct"/>
            <w:shd w:val="clear" w:color="auto" w:fill="D9D9D9"/>
          </w:tcPr>
          <w:p w14:paraId="44DDECEC" w14:textId="0B0323AF"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373,656</w:t>
            </w:r>
          </w:p>
        </w:tc>
        <w:tc>
          <w:tcPr>
            <w:tcW w:w="199" w:type="pct"/>
            <w:shd w:val="clear" w:color="auto" w:fill="D9D9D9"/>
          </w:tcPr>
          <w:p w14:paraId="10D6ECE8" w14:textId="53CDCB76"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8,790</w:t>
            </w:r>
          </w:p>
        </w:tc>
        <w:tc>
          <w:tcPr>
            <w:tcW w:w="199" w:type="pct"/>
            <w:shd w:val="clear" w:color="auto" w:fill="D9D9D9"/>
          </w:tcPr>
          <w:p w14:paraId="204B4B96" w14:textId="2F4CEC22"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151</w:t>
            </w:r>
          </w:p>
        </w:tc>
        <w:tc>
          <w:tcPr>
            <w:tcW w:w="199" w:type="pct"/>
            <w:shd w:val="clear" w:color="auto" w:fill="D9D9D9"/>
          </w:tcPr>
          <w:p w14:paraId="039F8207" w14:textId="190183B0"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44,751</w:t>
            </w:r>
          </w:p>
        </w:tc>
        <w:tc>
          <w:tcPr>
            <w:tcW w:w="199" w:type="pct"/>
            <w:shd w:val="clear" w:color="auto" w:fill="D9D9D9"/>
          </w:tcPr>
          <w:p w14:paraId="194BF36D" w14:textId="426931C8"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11C66EDF" w14:textId="338D0691"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0498256D" w14:textId="270173F5"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5BE073DA" w14:textId="55B2D57C"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4CC9674F" w14:textId="5EF66256"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1,495</w:t>
            </w:r>
          </w:p>
        </w:tc>
        <w:tc>
          <w:tcPr>
            <w:tcW w:w="199" w:type="pct"/>
            <w:shd w:val="clear" w:color="auto" w:fill="D9D9D9"/>
          </w:tcPr>
          <w:p w14:paraId="658D17DD" w14:textId="5DA59FD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70D97524" w14:textId="3C8B8617"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2" w:type="pct"/>
            <w:shd w:val="clear" w:color="auto" w:fill="D9D9D9"/>
          </w:tcPr>
          <w:p w14:paraId="616FC995" w14:textId="5FCAECF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0</w:t>
            </w:r>
          </w:p>
        </w:tc>
      </w:tr>
      <w:tr w:rsidR="00F8548D" w14:paraId="6C1D072C"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30131748"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Expired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6770FD58"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74B41127"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3B02EC7F"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99" w:type="pct"/>
            <w:shd w:val="clear" w:color="auto" w:fill="D9D9D9"/>
          </w:tcPr>
          <w:p w14:paraId="7A378A31" w14:textId="736B3D23"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365,162</w:t>
            </w:r>
          </w:p>
        </w:tc>
        <w:tc>
          <w:tcPr>
            <w:tcW w:w="199" w:type="pct"/>
            <w:shd w:val="clear" w:color="auto" w:fill="D9D9D9"/>
          </w:tcPr>
          <w:p w14:paraId="3FBD73A2" w14:textId="7188D369"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366,736</w:t>
            </w:r>
          </w:p>
        </w:tc>
        <w:tc>
          <w:tcPr>
            <w:tcW w:w="199" w:type="pct"/>
            <w:shd w:val="clear" w:color="auto" w:fill="D9D9D9"/>
          </w:tcPr>
          <w:p w14:paraId="6209F52D" w14:textId="4E9E53F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367,070</w:t>
            </w:r>
          </w:p>
        </w:tc>
        <w:tc>
          <w:tcPr>
            <w:tcW w:w="199" w:type="pct"/>
            <w:shd w:val="clear" w:color="auto" w:fill="D9D9D9"/>
          </w:tcPr>
          <w:p w14:paraId="330FABB2" w14:textId="61C00FA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382,540</w:t>
            </w:r>
          </w:p>
        </w:tc>
        <w:tc>
          <w:tcPr>
            <w:tcW w:w="199" w:type="pct"/>
            <w:shd w:val="clear" w:color="auto" w:fill="D9D9D9"/>
          </w:tcPr>
          <w:p w14:paraId="7B3A982A" w14:textId="688D9BB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382,667</w:t>
            </w:r>
          </w:p>
        </w:tc>
        <w:tc>
          <w:tcPr>
            <w:tcW w:w="199" w:type="pct"/>
            <w:shd w:val="clear" w:color="auto" w:fill="D9D9D9"/>
          </w:tcPr>
          <w:p w14:paraId="11EC6E8F" w14:textId="4558A23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383,760</w:t>
            </w:r>
          </w:p>
        </w:tc>
        <w:tc>
          <w:tcPr>
            <w:tcW w:w="199" w:type="pct"/>
            <w:shd w:val="clear" w:color="auto" w:fill="D9D9D9"/>
          </w:tcPr>
          <w:p w14:paraId="365A1B9F" w14:textId="042945D2"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392,550</w:t>
            </w:r>
          </w:p>
        </w:tc>
        <w:tc>
          <w:tcPr>
            <w:tcW w:w="199" w:type="pct"/>
            <w:shd w:val="clear" w:color="auto" w:fill="D9D9D9"/>
          </w:tcPr>
          <w:p w14:paraId="39E27B07" w14:textId="3F49446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392,701</w:t>
            </w:r>
          </w:p>
        </w:tc>
        <w:tc>
          <w:tcPr>
            <w:tcW w:w="199" w:type="pct"/>
            <w:shd w:val="clear" w:color="auto" w:fill="D9D9D9"/>
          </w:tcPr>
          <w:p w14:paraId="40969455" w14:textId="03F15FAC"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437,453</w:t>
            </w:r>
          </w:p>
        </w:tc>
        <w:tc>
          <w:tcPr>
            <w:tcW w:w="199" w:type="pct"/>
            <w:shd w:val="clear" w:color="auto" w:fill="D9D9D9"/>
          </w:tcPr>
          <w:p w14:paraId="6BC56415" w14:textId="5A8EBDA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437,453</w:t>
            </w:r>
          </w:p>
        </w:tc>
        <w:tc>
          <w:tcPr>
            <w:tcW w:w="199" w:type="pct"/>
            <w:shd w:val="clear" w:color="auto" w:fill="D9D9D9"/>
          </w:tcPr>
          <w:p w14:paraId="0E9D665A" w14:textId="6E491859"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437,453</w:t>
            </w:r>
          </w:p>
        </w:tc>
        <w:tc>
          <w:tcPr>
            <w:tcW w:w="199" w:type="pct"/>
            <w:shd w:val="clear" w:color="auto" w:fill="D9D9D9"/>
          </w:tcPr>
          <w:p w14:paraId="476C53C0" w14:textId="4F8492B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437,453</w:t>
            </w:r>
          </w:p>
        </w:tc>
        <w:tc>
          <w:tcPr>
            <w:tcW w:w="199" w:type="pct"/>
            <w:shd w:val="clear" w:color="auto" w:fill="D9D9D9"/>
          </w:tcPr>
          <w:p w14:paraId="21D5CA6A" w14:textId="0FBCBF0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437,453</w:t>
            </w:r>
          </w:p>
        </w:tc>
        <w:tc>
          <w:tcPr>
            <w:tcW w:w="199" w:type="pct"/>
            <w:shd w:val="clear" w:color="auto" w:fill="D9D9D9"/>
          </w:tcPr>
          <w:p w14:paraId="21C2F9EF" w14:textId="2105C6A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4FFB0CDB" w14:textId="03F2AAB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6D290EE3" w14:textId="099849E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2" w:type="pct"/>
            <w:shd w:val="clear" w:color="auto" w:fill="D9D9D9"/>
          </w:tcPr>
          <w:p w14:paraId="5B2D18CB" w14:textId="1917CB1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438,947</w:t>
            </w:r>
          </w:p>
        </w:tc>
      </w:tr>
    </w:tbl>
    <w:p w14:paraId="5625676D" w14:textId="77777777" w:rsidR="00067DBC" w:rsidRDefault="00067DBC" w:rsidP="00455E81"/>
    <w:p w14:paraId="50615DA8" w14:textId="77777777" w:rsidR="00F8548D" w:rsidRDefault="00F8548D">
      <w:r>
        <w:br w:type="page"/>
      </w:r>
    </w:p>
    <w:p w14:paraId="42CEE9CB" w14:textId="64792C7D" w:rsidR="00F8548D" w:rsidRDefault="00F8548D" w:rsidP="00F8548D">
      <w:pPr>
        <w:jc w:val="center"/>
      </w:pPr>
      <w:r>
        <w:fldChar w:fldCharType="begin"/>
      </w:r>
      <w:r>
        <w:instrText xml:space="preserve"> REF _Ref161299962 \h </w:instrText>
      </w:r>
      <w:r>
        <w:fldChar w:fldCharType="separate"/>
      </w:r>
      <w:r>
        <w:t xml:space="preserve">Table </w:t>
      </w:r>
      <w:r>
        <w:rPr>
          <w:noProof/>
        </w:rPr>
        <w:t>19</w:t>
      </w:r>
      <w:r>
        <w:fldChar w:fldCharType="end"/>
      </w:r>
      <w:r>
        <w:t xml:space="preserve"> (Continued). 2024 AIC Portfolio CPAS and WAML</w:t>
      </w:r>
    </w:p>
    <w:tbl>
      <w:tblPr>
        <w:tblStyle w:val="ODCBasic-1"/>
        <w:tblW w:w="5000" w:type="pct"/>
        <w:tblCellMar>
          <w:top w:w="0" w:type="dxa"/>
        </w:tblCellMar>
        <w:tblLook w:val="04A0" w:firstRow="1" w:lastRow="0" w:firstColumn="1" w:lastColumn="0" w:noHBand="0" w:noVBand="1"/>
      </w:tblPr>
      <w:tblGrid>
        <w:gridCol w:w="4475"/>
        <w:gridCol w:w="705"/>
        <w:gridCol w:w="1658"/>
        <w:gridCol w:w="752"/>
        <w:gridCol w:w="929"/>
        <w:gridCol w:w="929"/>
        <w:gridCol w:w="929"/>
        <w:gridCol w:w="929"/>
        <w:gridCol w:w="929"/>
        <w:gridCol w:w="929"/>
        <w:gridCol w:w="929"/>
        <w:gridCol w:w="929"/>
        <w:gridCol w:w="929"/>
        <w:gridCol w:w="929"/>
        <w:gridCol w:w="929"/>
        <w:gridCol w:w="929"/>
        <w:gridCol w:w="929"/>
        <w:gridCol w:w="929"/>
        <w:gridCol w:w="929"/>
        <w:gridCol w:w="929"/>
        <w:gridCol w:w="896"/>
      </w:tblGrid>
      <w:tr w:rsidR="00F8548D" w14:paraId="5584B7DE" w14:textId="77777777" w:rsidTr="009F258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val="restart"/>
            <w:tcBorders>
              <w:bottom w:val="single" w:sz="4" w:space="0" w:color="4A4D56" w:themeColor="text1"/>
              <w:right w:val="single" w:sz="4" w:space="0" w:color="4A4D56" w:themeColor="text1"/>
            </w:tcBorders>
          </w:tcPr>
          <w:p w14:paraId="16EBF680" w14:textId="77777777" w:rsidR="00F8548D" w:rsidRPr="00625570" w:rsidRDefault="00F8548D" w:rsidP="009F2580">
            <w:pPr>
              <w:pStyle w:val="TableHeadingLeft"/>
            </w:pPr>
            <w:r>
              <w:t>Initiative</w:t>
            </w:r>
          </w:p>
        </w:tc>
        <w:tc>
          <w:tcPr>
            <w:tcW w:w="151" w:type="pct"/>
            <w:vMerge w:val="restart"/>
            <w:tcBorders>
              <w:left w:val="single" w:sz="4" w:space="0" w:color="4A4D56" w:themeColor="text1"/>
              <w:right w:val="single" w:sz="4" w:space="0" w:color="4A4D56" w:themeColor="text1"/>
            </w:tcBorders>
          </w:tcPr>
          <w:p w14:paraId="755C5999"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WAML</w:t>
            </w:r>
          </w:p>
        </w:tc>
        <w:tc>
          <w:tcPr>
            <w:tcW w:w="355" w:type="pct"/>
            <w:vMerge w:val="restart"/>
            <w:tcBorders>
              <w:left w:val="single" w:sz="4" w:space="0" w:color="4A4D56" w:themeColor="text1"/>
              <w:right w:val="single" w:sz="4" w:space="0" w:color="4A4D56" w:themeColor="text1"/>
            </w:tcBorders>
          </w:tcPr>
          <w:p w14:paraId="72E63F43"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Annual Verified Gross Savings (MWh)</w:t>
            </w:r>
          </w:p>
        </w:tc>
        <w:tc>
          <w:tcPr>
            <w:tcW w:w="161" w:type="pct"/>
            <w:vMerge w:val="restart"/>
            <w:tcBorders>
              <w:left w:val="single" w:sz="4" w:space="0" w:color="4A4D56" w:themeColor="text1"/>
              <w:right w:val="single" w:sz="4" w:space="0" w:color="4A4D56" w:themeColor="text1"/>
            </w:tcBorders>
          </w:tcPr>
          <w:p w14:paraId="0615D0C6" w14:textId="77777777" w:rsidR="00F8548D" w:rsidRPr="00625570"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NTGR</w:t>
            </w:r>
          </w:p>
        </w:tc>
        <w:tc>
          <w:tcPr>
            <w:tcW w:w="3375" w:type="pct"/>
            <w:gridSpan w:val="17"/>
            <w:tcBorders>
              <w:left w:val="single" w:sz="4" w:space="0" w:color="4A4D56" w:themeColor="text1"/>
            </w:tcBorders>
          </w:tcPr>
          <w:p w14:paraId="0DF6F0E8" w14:textId="77777777" w:rsidR="00F8548D" w:rsidRDefault="00F8548D" w:rsidP="009F2580">
            <w:pPr>
              <w:pStyle w:val="TableHeadingCentered"/>
              <w:cnfStyle w:val="100000000000" w:firstRow="1" w:lastRow="0" w:firstColumn="0" w:lastColumn="0" w:oddVBand="0" w:evenVBand="0" w:oddHBand="0" w:evenHBand="0" w:firstRowFirstColumn="0" w:firstRowLastColumn="0" w:lastRowFirstColumn="0" w:lastRowLastColumn="0"/>
            </w:pPr>
            <w:r>
              <w:t>CPAS – Verified Net Savings (MWh)</w:t>
            </w:r>
          </w:p>
        </w:tc>
      </w:tr>
      <w:tr w:rsidR="00F8548D" w14:paraId="4D284DC3" w14:textId="77777777" w:rsidTr="009F258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8" w:type="pct"/>
            <w:vMerge/>
            <w:tcBorders>
              <w:top w:val="single" w:sz="4" w:space="0" w:color="4A4D56" w:themeColor="text1"/>
              <w:right w:val="single" w:sz="4" w:space="0" w:color="4A4D56" w:themeColor="text1"/>
            </w:tcBorders>
          </w:tcPr>
          <w:p w14:paraId="5F8E9357" w14:textId="77777777" w:rsidR="00F8548D" w:rsidRPr="00625570" w:rsidRDefault="00F8548D" w:rsidP="00F8548D">
            <w:pPr>
              <w:pStyle w:val="ODTable"/>
              <w:suppressAutoHyphens/>
              <w:ind w:left="72"/>
              <w:rPr>
                <w:sz w:val="18"/>
                <w:szCs w:val="18"/>
              </w:rPr>
            </w:pPr>
          </w:p>
        </w:tc>
        <w:tc>
          <w:tcPr>
            <w:tcW w:w="151" w:type="pct"/>
            <w:vMerge/>
            <w:tcBorders>
              <w:left w:val="single" w:sz="4" w:space="0" w:color="4A4D56" w:themeColor="text1"/>
              <w:right w:val="single" w:sz="4" w:space="0" w:color="4A4D56" w:themeColor="text1"/>
            </w:tcBorders>
          </w:tcPr>
          <w:p w14:paraId="7BB76CAF"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rPr>
                <w:rFonts w:cs="Calibri"/>
              </w:rPr>
            </w:pPr>
          </w:p>
        </w:tc>
        <w:tc>
          <w:tcPr>
            <w:tcW w:w="355" w:type="pct"/>
            <w:vMerge/>
            <w:tcBorders>
              <w:left w:val="single" w:sz="4" w:space="0" w:color="4A4D56" w:themeColor="text1"/>
              <w:right w:val="single" w:sz="4" w:space="0" w:color="4A4D56" w:themeColor="text1"/>
            </w:tcBorders>
          </w:tcPr>
          <w:p w14:paraId="46D16DFC"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61" w:type="pct"/>
            <w:vMerge/>
            <w:tcBorders>
              <w:left w:val="single" w:sz="4" w:space="0" w:color="4A4D56" w:themeColor="text1"/>
              <w:right w:val="single" w:sz="4" w:space="0" w:color="4A4D56" w:themeColor="text1"/>
            </w:tcBorders>
          </w:tcPr>
          <w:p w14:paraId="6B75327D" w14:textId="7777777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p>
        </w:tc>
        <w:tc>
          <w:tcPr>
            <w:tcW w:w="199" w:type="pct"/>
            <w:tcBorders>
              <w:left w:val="single" w:sz="4" w:space="0" w:color="4A4D56" w:themeColor="text1"/>
              <w:right w:val="single" w:sz="4" w:space="0" w:color="4A4D56" w:themeColor="text1"/>
            </w:tcBorders>
          </w:tcPr>
          <w:p w14:paraId="0A1ECC5E" w14:textId="24EDD287"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2058</w:t>
            </w:r>
          </w:p>
        </w:tc>
        <w:tc>
          <w:tcPr>
            <w:tcW w:w="199" w:type="pct"/>
            <w:tcBorders>
              <w:top w:val="single" w:sz="4" w:space="0" w:color="4A4D56" w:themeColor="text1"/>
              <w:left w:val="single" w:sz="4" w:space="0" w:color="4A4D56" w:themeColor="text1"/>
              <w:right w:val="single" w:sz="4" w:space="0" w:color="4A4D56" w:themeColor="text1"/>
            </w:tcBorders>
          </w:tcPr>
          <w:p w14:paraId="5A92D570" w14:textId="1EC9A2F8"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2059</w:t>
            </w:r>
          </w:p>
        </w:tc>
        <w:tc>
          <w:tcPr>
            <w:tcW w:w="199" w:type="pct"/>
            <w:tcBorders>
              <w:top w:val="single" w:sz="4" w:space="0" w:color="4A4D56" w:themeColor="text1"/>
              <w:left w:val="single" w:sz="4" w:space="0" w:color="4A4D56" w:themeColor="text1"/>
              <w:right w:val="single" w:sz="4" w:space="0" w:color="4A4D56" w:themeColor="text1"/>
            </w:tcBorders>
          </w:tcPr>
          <w:p w14:paraId="4E1318BB" w14:textId="49A7B155"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2060</w:t>
            </w:r>
          </w:p>
        </w:tc>
        <w:tc>
          <w:tcPr>
            <w:tcW w:w="199" w:type="pct"/>
            <w:tcBorders>
              <w:top w:val="single" w:sz="4" w:space="0" w:color="4A4D56" w:themeColor="text1"/>
              <w:left w:val="single" w:sz="4" w:space="0" w:color="4A4D56" w:themeColor="text1"/>
              <w:right w:val="single" w:sz="4" w:space="0" w:color="4A4D56" w:themeColor="text1"/>
            </w:tcBorders>
          </w:tcPr>
          <w:p w14:paraId="4DA89F1D" w14:textId="71091BC6"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2061</w:t>
            </w:r>
          </w:p>
        </w:tc>
        <w:tc>
          <w:tcPr>
            <w:tcW w:w="199" w:type="pct"/>
            <w:tcBorders>
              <w:top w:val="single" w:sz="4" w:space="0" w:color="4A4D56" w:themeColor="text1"/>
              <w:left w:val="single" w:sz="4" w:space="0" w:color="4A4D56" w:themeColor="text1"/>
              <w:right w:val="single" w:sz="4" w:space="0" w:color="4A4D56" w:themeColor="text1"/>
            </w:tcBorders>
          </w:tcPr>
          <w:p w14:paraId="58ED0BED" w14:textId="689ACDDC"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2062</w:t>
            </w:r>
          </w:p>
        </w:tc>
        <w:tc>
          <w:tcPr>
            <w:tcW w:w="199" w:type="pct"/>
            <w:tcBorders>
              <w:top w:val="single" w:sz="4" w:space="0" w:color="4A4D56" w:themeColor="text1"/>
              <w:left w:val="single" w:sz="4" w:space="0" w:color="4A4D56" w:themeColor="text1"/>
              <w:right w:val="single" w:sz="4" w:space="0" w:color="4A4D56" w:themeColor="text1"/>
            </w:tcBorders>
          </w:tcPr>
          <w:p w14:paraId="18EF6E9F" w14:textId="2B75CA6E"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2063</w:t>
            </w:r>
          </w:p>
        </w:tc>
        <w:tc>
          <w:tcPr>
            <w:tcW w:w="199" w:type="pct"/>
            <w:tcBorders>
              <w:top w:val="single" w:sz="4" w:space="0" w:color="4A4D56" w:themeColor="text1"/>
              <w:left w:val="single" w:sz="4" w:space="0" w:color="4A4D56" w:themeColor="text1"/>
              <w:right w:val="single" w:sz="4" w:space="0" w:color="4A4D56" w:themeColor="text1"/>
            </w:tcBorders>
          </w:tcPr>
          <w:p w14:paraId="34739657" w14:textId="15DC2106"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2064</w:t>
            </w:r>
          </w:p>
        </w:tc>
        <w:tc>
          <w:tcPr>
            <w:tcW w:w="199" w:type="pct"/>
            <w:tcBorders>
              <w:top w:val="single" w:sz="4" w:space="0" w:color="4A4D56" w:themeColor="text1"/>
              <w:left w:val="single" w:sz="4" w:space="0" w:color="4A4D56" w:themeColor="text1"/>
              <w:right w:val="single" w:sz="4" w:space="0" w:color="4A4D56" w:themeColor="text1"/>
            </w:tcBorders>
          </w:tcPr>
          <w:p w14:paraId="515B5382" w14:textId="4529ECB9"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2065</w:t>
            </w:r>
          </w:p>
        </w:tc>
        <w:tc>
          <w:tcPr>
            <w:tcW w:w="199" w:type="pct"/>
            <w:tcBorders>
              <w:top w:val="single" w:sz="4" w:space="0" w:color="4A4D56" w:themeColor="text1"/>
              <w:left w:val="single" w:sz="4" w:space="0" w:color="4A4D56" w:themeColor="text1"/>
              <w:right w:val="single" w:sz="4" w:space="0" w:color="4A4D56" w:themeColor="text1"/>
            </w:tcBorders>
          </w:tcPr>
          <w:p w14:paraId="379F7C24" w14:textId="548AA81B"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2066</w:t>
            </w:r>
          </w:p>
        </w:tc>
        <w:tc>
          <w:tcPr>
            <w:tcW w:w="199" w:type="pct"/>
            <w:tcBorders>
              <w:top w:val="single" w:sz="4" w:space="0" w:color="4A4D56" w:themeColor="text1"/>
              <w:left w:val="single" w:sz="4" w:space="0" w:color="4A4D56" w:themeColor="text1"/>
              <w:right w:val="single" w:sz="4" w:space="0" w:color="4A4D56" w:themeColor="text1"/>
            </w:tcBorders>
          </w:tcPr>
          <w:p w14:paraId="7C6A49B7" w14:textId="0C7FA4B3"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2067</w:t>
            </w:r>
          </w:p>
        </w:tc>
        <w:tc>
          <w:tcPr>
            <w:tcW w:w="199" w:type="pct"/>
            <w:tcBorders>
              <w:top w:val="single" w:sz="4" w:space="0" w:color="4A4D56" w:themeColor="text1"/>
              <w:left w:val="single" w:sz="4" w:space="0" w:color="4A4D56" w:themeColor="text1"/>
              <w:right w:val="single" w:sz="4" w:space="0" w:color="4A4D56" w:themeColor="text1"/>
            </w:tcBorders>
          </w:tcPr>
          <w:p w14:paraId="149AED1D" w14:textId="3FC54BDD"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2068</w:t>
            </w:r>
          </w:p>
        </w:tc>
        <w:tc>
          <w:tcPr>
            <w:tcW w:w="199" w:type="pct"/>
            <w:tcBorders>
              <w:top w:val="single" w:sz="4" w:space="0" w:color="4A4D56" w:themeColor="text1"/>
              <w:left w:val="single" w:sz="4" w:space="0" w:color="4A4D56" w:themeColor="text1"/>
              <w:right w:val="single" w:sz="4" w:space="0" w:color="4A4D56" w:themeColor="text1"/>
            </w:tcBorders>
          </w:tcPr>
          <w:p w14:paraId="1687404A" w14:textId="79C23BFD"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2069</w:t>
            </w:r>
          </w:p>
        </w:tc>
        <w:tc>
          <w:tcPr>
            <w:tcW w:w="199" w:type="pct"/>
            <w:tcBorders>
              <w:top w:val="single" w:sz="4" w:space="0" w:color="4A4D56" w:themeColor="text1"/>
              <w:left w:val="single" w:sz="4" w:space="0" w:color="4A4D56" w:themeColor="text1"/>
              <w:right w:val="single" w:sz="4" w:space="0" w:color="4A4D56" w:themeColor="text1"/>
            </w:tcBorders>
          </w:tcPr>
          <w:p w14:paraId="5DBA06B0" w14:textId="0D44D757"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2070</w:t>
            </w:r>
          </w:p>
        </w:tc>
        <w:tc>
          <w:tcPr>
            <w:tcW w:w="199" w:type="pct"/>
            <w:tcBorders>
              <w:left w:val="single" w:sz="4" w:space="0" w:color="4A4D56" w:themeColor="text1"/>
              <w:right w:val="single" w:sz="4" w:space="0" w:color="4A4D56" w:themeColor="text1"/>
            </w:tcBorders>
          </w:tcPr>
          <w:p w14:paraId="449F636E" w14:textId="6D1CC557"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2071</w:t>
            </w:r>
          </w:p>
        </w:tc>
        <w:tc>
          <w:tcPr>
            <w:tcW w:w="199" w:type="pct"/>
            <w:tcBorders>
              <w:left w:val="single" w:sz="4" w:space="0" w:color="4A4D56" w:themeColor="text1"/>
            </w:tcBorders>
          </w:tcPr>
          <w:p w14:paraId="31B65678" w14:textId="335DFBC6" w:rsidR="00F8548D" w:rsidRPr="00625570"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2072</w:t>
            </w:r>
          </w:p>
        </w:tc>
        <w:tc>
          <w:tcPr>
            <w:tcW w:w="199" w:type="pct"/>
            <w:tcBorders>
              <w:left w:val="single" w:sz="4" w:space="0" w:color="4A4D56" w:themeColor="text1"/>
            </w:tcBorders>
          </w:tcPr>
          <w:p w14:paraId="3B1FF576" w14:textId="45096006"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2073</w:t>
            </w:r>
          </w:p>
        </w:tc>
        <w:tc>
          <w:tcPr>
            <w:tcW w:w="192" w:type="pct"/>
            <w:tcBorders>
              <w:left w:val="single" w:sz="4" w:space="0" w:color="4A4D56" w:themeColor="text1"/>
            </w:tcBorders>
          </w:tcPr>
          <w:p w14:paraId="54188EBA" w14:textId="399213F2" w:rsidR="00F8548D" w:rsidRDefault="00F8548D" w:rsidP="00F8548D">
            <w:pPr>
              <w:pStyle w:val="TableHeadingCentered"/>
              <w:cnfStyle w:val="100000000000" w:firstRow="1" w:lastRow="0" w:firstColumn="0" w:lastColumn="0" w:oddVBand="0" w:evenVBand="0" w:oddHBand="0" w:evenHBand="0" w:firstRowFirstColumn="0" w:firstRowLastColumn="0" w:lastRowFirstColumn="0" w:lastRowLastColumn="0"/>
            </w:pPr>
            <w:r>
              <w:rPr>
                <w:color w:val="FFFFFF"/>
              </w:rPr>
              <w:t>2074</w:t>
            </w:r>
          </w:p>
        </w:tc>
      </w:tr>
      <w:tr w:rsidR="00F8548D" w14:paraId="49346F88"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E3C03AA" w14:textId="77777777" w:rsidR="00F8548D" w:rsidRPr="001C50B5" w:rsidRDefault="00F8548D" w:rsidP="00F8548D">
            <w:pPr>
              <w:pStyle w:val="TableLeftText"/>
            </w:pPr>
            <w:r>
              <w:rPr>
                <w:color w:val="4A4D56"/>
              </w:rPr>
              <w:t>Retail Products Initiative</w:t>
            </w:r>
          </w:p>
        </w:tc>
        <w:tc>
          <w:tcPr>
            <w:tcW w:w="151" w:type="pct"/>
          </w:tcPr>
          <w:p w14:paraId="7F6551B8"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9.2</w:t>
            </w:r>
          </w:p>
        </w:tc>
        <w:tc>
          <w:tcPr>
            <w:tcW w:w="355" w:type="pct"/>
          </w:tcPr>
          <w:p w14:paraId="6CFCEC30"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101,713</w:t>
            </w:r>
          </w:p>
        </w:tc>
        <w:tc>
          <w:tcPr>
            <w:tcW w:w="161" w:type="pct"/>
          </w:tcPr>
          <w:p w14:paraId="3DFDE074"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0.890</w:t>
            </w:r>
          </w:p>
        </w:tc>
        <w:tc>
          <w:tcPr>
            <w:tcW w:w="199" w:type="pct"/>
          </w:tcPr>
          <w:p w14:paraId="4F989516" w14:textId="7F324FD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B9C49C1" w14:textId="26D3CE6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5C64602" w14:textId="418E034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2788CD9" w14:textId="7C77421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5C03DAC" w14:textId="56A3486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B0AA4FB" w14:textId="1C6AB50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268258C" w14:textId="0A79D7D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0754912" w14:textId="4E61DCF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E810FE2" w14:textId="770A052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84B0A7F" w14:textId="719BE4D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1DE8938" w14:textId="773C58B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1431670" w14:textId="30F1398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5C0B282" w14:textId="6C40C24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C8D0DAE" w14:textId="7EE88A0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A5287A1" w14:textId="2DEC330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B2A06E8" w14:textId="5733E6B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66579678" w14:textId="6BF5FEB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4F4B2643"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BA78A7F" w14:textId="77777777" w:rsidR="00F8548D" w:rsidRDefault="00F8548D" w:rsidP="00F8548D">
            <w:pPr>
              <w:pStyle w:val="TableLeftText"/>
            </w:pPr>
            <w:r>
              <w:rPr>
                <w:color w:val="4A4D56"/>
              </w:rPr>
              <w:t>Income Qualified Initiative - Single Family Offerings</w:t>
            </w:r>
          </w:p>
        </w:tc>
        <w:tc>
          <w:tcPr>
            <w:tcW w:w="151" w:type="pct"/>
          </w:tcPr>
          <w:p w14:paraId="65791F06"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15.3</w:t>
            </w:r>
          </w:p>
        </w:tc>
        <w:tc>
          <w:tcPr>
            <w:tcW w:w="355" w:type="pct"/>
          </w:tcPr>
          <w:p w14:paraId="72A810C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6,972</w:t>
            </w:r>
          </w:p>
        </w:tc>
        <w:tc>
          <w:tcPr>
            <w:tcW w:w="161" w:type="pct"/>
          </w:tcPr>
          <w:p w14:paraId="349990B1"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0250B8D6" w14:textId="082233A4"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DCF97BF" w14:textId="3276404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FFD6875" w14:textId="3837D4C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79D3AD4" w14:textId="489E795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5E6A730" w14:textId="2921427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CA8C3EA" w14:textId="0CF416C1"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170BC00" w14:textId="6F8EC93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CE93D98" w14:textId="2AA7122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AECB1C8" w14:textId="5B5E739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56D1D06" w14:textId="174EF15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5FF4115" w14:textId="0701052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C706433" w14:textId="48A4195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EC0BA63" w14:textId="2518F5D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2BB5B34" w14:textId="76751682"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8A6C1D2" w14:textId="219B0DD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066465E" w14:textId="45A10B0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7EA65D03" w14:textId="2962CEBC"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71913822"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107C105" w14:textId="77777777" w:rsidR="00F8548D" w:rsidRDefault="00F8548D" w:rsidP="00F8548D">
            <w:pPr>
              <w:pStyle w:val="TableLeftText"/>
            </w:pPr>
            <w:r>
              <w:rPr>
                <w:color w:val="4A4D56"/>
              </w:rPr>
              <w:t>Multifamily Initiatives</w:t>
            </w:r>
          </w:p>
        </w:tc>
        <w:tc>
          <w:tcPr>
            <w:tcW w:w="151" w:type="pct"/>
          </w:tcPr>
          <w:p w14:paraId="718486C6"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13.0</w:t>
            </w:r>
          </w:p>
        </w:tc>
        <w:tc>
          <w:tcPr>
            <w:tcW w:w="355" w:type="pct"/>
          </w:tcPr>
          <w:p w14:paraId="04334F59"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14,665</w:t>
            </w:r>
          </w:p>
        </w:tc>
        <w:tc>
          <w:tcPr>
            <w:tcW w:w="161" w:type="pct"/>
          </w:tcPr>
          <w:p w14:paraId="3F77AEB9"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0.993</w:t>
            </w:r>
          </w:p>
        </w:tc>
        <w:tc>
          <w:tcPr>
            <w:tcW w:w="199" w:type="pct"/>
          </w:tcPr>
          <w:p w14:paraId="6D76BB2F" w14:textId="31A9A65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F7DAF4" w14:textId="6A36C0A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597BD9A" w14:textId="42E6559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9517345" w14:textId="58EF063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4BFEBFE" w14:textId="3F80192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1CD4584" w14:textId="562557FB"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AF0B569" w14:textId="1654707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F6C82E3" w14:textId="72E8BEA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0E64783" w14:textId="080ED46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D52289C" w14:textId="2373DA6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3ECAF1A" w14:textId="10C0F42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A067A42" w14:textId="0203E80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58D174F" w14:textId="611D23B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0C409AA" w14:textId="3165C598"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BB3A20B" w14:textId="269E425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55C26F6" w14:textId="54B7628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3B4F703A" w14:textId="7472AE2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32662096"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B237319" w14:textId="77777777" w:rsidR="00F8548D" w:rsidRDefault="00F8548D" w:rsidP="00F8548D">
            <w:pPr>
              <w:pStyle w:val="TableLeftText"/>
            </w:pPr>
            <w:r>
              <w:rPr>
                <w:color w:val="4A4D56"/>
              </w:rPr>
              <w:t>Market Rate Single Family Initiative</w:t>
            </w:r>
          </w:p>
        </w:tc>
        <w:tc>
          <w:tcPr>
            <w:tcW w:w="151" w:type="pct"/>
          </w:tcPr>
          <w:p w14:paraId="4A0384EF"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16.1</w:t>
            </w:r>
          </w:p>
        </w:tc>
        <w:tc>
          <w:tcPr>
            <w:tcW w:w="355" w:type="pct"/>
          </w:tcPr>
          <w:p w14:paraId="040FB299"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11,492</w:t>
            </w:r>
          </w:p>
        </w:tc>
        <w:tc>
          <w:tcPr>
            <w:tcW w:w="161" w:type="pct"/>
          </w:tcPr>
          <w:p w14:paraId="69434F07"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0.780</w:t>
            </w:r>
          </w:p>
        </w:tc>
        <w:tc>
          <w:tcPr>
            <w:tcW w:w="199" w:type="pct"/>
          </w:tcPr>
          <w:p w14:paraId="563BA944" w14:textId="01DB160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9D97ADB" w14:textId="0EFB3D2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74B05A4" w14:textId="6870129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4243580" w14:textId="13504D6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C254FF0" w14:textId="27AC9D8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E7854E6" w14:textId="227FA6D7"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95DC390" w14:textId="552063A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D243424" w14:textId="3245D7C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0F13832" w14:textId="6A11783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105BE50" w14:textId="311FCAD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462EF55" w14:textId="0EB1E38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2847BC7" w14:textId="1BA680A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F8D4A58" w14:textId="5D76AD1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A6A15FF" w14:textId="1447EA09"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2DA8D35" w14:textId="222D059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5682596" w14:textId="60E6E1D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4776C4BB" w14:textId="1E279099"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5D5073CD"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2FCEE7D" w14:textId="77777777" w:rsidR="00F8548D" w:rsidRDefault="00F8548D" w:rsidP="00F8548D">
            <w:pPr>
              <w:pStyle w:val="TableLeftText"/>
            </w:pPr>
            <w:r>
              <w:rPr>
                <w:color w:val="4A4D56"/>
              </w:rPr>
              <w:t>Kits Initiatives</w:t>
            </w:r>
          </w:p>
        </w:tc>
        <w:tc>
          <w:tcPr>
            <w:tcW w:w="151" w:type="pct"/>
          </w:tcPr>
          <w:p w14:paraId="0C55FCA4"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9.3</w:t>
            </w:r>
          </w:p>
        </w:tc>
        <w:tc>
          <w:tcPr>
            <w:tcW w:w="355" w:type="pct"/>
          </w:tcPr>
          <w:p w14:paraId="59C9E124"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13,789</w:t>
            </w:r>
          </w:p>
        </w:tc>
        <w:tc>
          <w:tcPr>
            <w:tcW w:w="161" w:type="pct"/>
          </w:tcPr>
          <w:p w14:paraId="30CEF972"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1.000</w:t>
            </w:r>
          </w:p>
        </w:tc>
        <w:tc>
          <w:tcPr>
            <w:tcW w:w="199" w:type="pct"/>
          </w:tcPr>
          <w:p w14:paraId="0F445C50" w14:textId="180C472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C9630FE" w14:textId="2A00AEF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8E26880" w14:textId="0ABF875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0CFC360" w14:textId="4EDDEBD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D8721A7" w14:textId="62EFD3B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422CD19" w14:textId="1BD3843E"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6231239" w14:textId="33CEB5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A7EDBE4" w14:textId="5624FF5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FC682BB" w14:textId="75548A8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D923605" w14:textId="4A7673C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D2F41D8" w14:textId="18353F6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8FDE81E" w14:textId="61B3E3F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FBE88E9" w14:textId="2CE92AD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B972D75" w14:textId="4D57118B"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1B7C10A" w14:textId="29A27AE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17566CF" w14:textId="4856048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3FF60CA9" w14:textId="52F704F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6D8939A2"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72777974" w14:textId="77777777" w:rsidR="00F8548D" w:rsidRDefault="00F8548D" w:rsidP="00F8548D">
            <w:pPr>
              <w:pStyle w:val="TableLeftText"/>
            </w:pPr>
            <w:r>
              <w:rPr>
                <w:color w:val="4A4D56"/>
              </w:rPr>
              <w:t>Residential Carryover</w:t>
            </w:r>
          </w:p>
        </w:tc>
        <w:tc>
          <w:tcPr>
            <w:tcW w:w="151" w:type="pct"/>
          </w:tcPr>
          <w:p w14:paraId="6C7B4C40"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9.7</w:t>
            </w:r>
          </w:p>
        </w:tc>
        <w:tc>
          <w:tcPr>
            <w:tcW w:w="355" w:type="pct"/>
          </w:tcPr>
          <w:p w14:paraId="51292FDB"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10,264</w:t>
            </w:r>
          </w:p>
        </w:tc>
        <w:tc>
          <w:tcPr>
            <w:tcW w:w="161" w:type="pct"/>
          </w:tcPr>
          <w:p w14:paraId="341DC119"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0.813</w:t>
            </w:r>
          </w:p>
        </w:tc>
        <w:tc>
          <w:tcPr>
            <w:tcW w:w="199" w:type="pct"/>
          </w:tcPr>
          <w:p w14:paraId="74859C11" w14:textId="5F02D61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4C13D06" w14:textId="2E4AB06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44EEAF8" w14:textId="48BD7A5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298F321" w14:textId="668927B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0B3F3F5" w14:textId="28D0A72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2A2D5F8" w14:textId="678465D8"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BF76E5F" w14:textId="155F5F1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E522647" w14:textId="539BAAB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0933DB3" w14:textId="764487A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BB2AF94" w14:textId="3BED846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1069969" w14:textId="3719845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5380B8C" w14:textId="5D6F87B8"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21FFD7A" w14:textId="668755D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04BDF1B" w14:textId="655713C4"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9BAC19D" w14:textId="4ADD570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CA2745C" w14:textId="786A193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6F56BC78" w14:textId="017C607D"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3570A291"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474E760" w14:textId="77777777" w:rsidR="00F8548D" w:rsidRDefault="00F8548D" w:rsidP="00F8548D">
            <w:pPr>
              <w:pStyle w:val="TableLeftText"/>
            </w:pPr>
            <w:r>
              <w:rPr>
                <w:color w:val="4A4D56"/>
              </w:rPr>
              <w:t>Residential NPSO</w:t>
            </w:r>
          </w:p>
        </w:tc>
        <w:tc>
          <w:tcPr>
            <w:tcW w:w="151" w:type="pct"/>
          </w:tcPr>
          <w:p w14:paraId="53DD1A87"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12.2</w:t>
            </w:r>
          </w:p>
        </w:tc>
        <w:tc>
          <w:tcPr>
            <w:tcW w:w="355" w:type="pct"/>
          </w:tcPr>
          <w:p w14:paraId="644F7FE9"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901</w:t>
            </w:r>
          </w:p>
        </w:tc>
        <w:tc>
          <w:tcPr>
            <w:tcW w:w="161" w:type="pct"/>
          </w:tcPr>
          <w:p w14:paraId="58EB09CD"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0.796</w:t>
            </w:r>
          </w:p>
        </w:tc>
        <w:tc>
          <w:tcPr>
            <w:tcW w:w="199" w:type="pct"/>
          </w:tcPr>
          <w:p w14:paraId="4BE3D67D" w14:textId="3C305AC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A84B27" w14:textId="43B8F33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9581DE4" w14:textId="314F0AE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47F7E15" w14:textId="178A112C"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A14C5B2" w14:textId="6AC92F6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9F0FDE0" w14:textId="281E6676"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D486DC5" w14:textId="0670A86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EA7C78E" w14:textId="21151E0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59F53C5" w14:textId="4BCAF5A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C5DADD0" w14:textId="177E071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0E21181" w14:textId="184E3B4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BC64EF6" w14:textId="6D452C4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1D0300D" w14:textId="210CA1E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AD01FCB" w14:textId="6F2981F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D6063A5" w14:textId="3D99DF2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5DB93EC" w14:textId="0D91D81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43C69C8D" w14:textId="65AA7DE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7196E963"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3D196A3F" w14:textId="77777777" w:rsidR="00F8548D" w:rsidRDefault="00F8548D" w:rsidP="00F8548D">
            <w:pPr>
              <w:pStyle w:val="TableLeftText"/>
            </w:pPr>
            <w:r>
              <w:rPr>
                <w:color w:val="4A4D56"/>
              </w:rPr>
              <w:t>Standard Initiative</w:t>
            </w:r>
          </w:p>
        </w:tc>
        <w:tc>
          <w:tcPr>
            <w:tcW w:w="151" w:type="pct"/>
          </w:tcPr>
          <w:p w14:paraId="130DB700"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12.8</w:t>
            </w:r>
          </w:p>
        </w:tc>
        <w:tc>
          <w:tcPr>
            <w:tcW w:w="355" w:type="pct"/>
          </w:tcPr>
          <w:p w14:paraId="103232C0"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66,267</w:t>
            </w:r>
          </w:p>
        </w:tc>
        <w:tc>
          <w:tcPr>
            <w:tcW w:w="161" w:type="pct"/>
          </w:tcPr>
          <w:p w14:paraId="70D1A89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0.909</w:t>
            </w:r>
          </w:p>
        </w:tc>
        <w:tc>
          <w:tcPr>
            <w:tcW w:w="199" w:type="pct"/>
          </w:tcPr>
          <w:p w14:paraId="363EB06E" w14:textId="07AB14B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E034FB1" w14:textId="42A2A04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0150A14" w14:textId="135257D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2304D66" w14:textId="176576E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2161B5F" w14:textId="664A5ED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524E068" w14:textId="7E3A5D2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2C1C7E7" w14:textId="4498EB5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F1EC5C1" w14:textId="052E295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A9558FA" w14:textId="6CA2672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E833CD1" w14:textId="3D343C8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BC12180" w14:textId="64C4994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B2F03D6" w14:textId="7E1EDD4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5B32EDD" w14:textId="50478D5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619B385" w14:textId="42934681"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308C9FD" w14:textId="7724B54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339AC20" w14:textId="7A394E0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068D30D4" w14:textId="79EB4A5F"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5BB9C1B7"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58479E5" w14:textId="77777777" w:rsidR="00F8548D" w:rsidRDefault="00F8548D" w:rsidP="00F8548D">
            <w:pPr>
              <w:pStyle w:val="TableLeftText"/>
            </w:pPr>
            <w:r>
              <w:rPr>
                <w:color w:val="4A4D56"/>
              </w:rPr>
              <w:t>Custom Initiative</w:t>
            </w:r>
          </w:p>
        </w:tc>
        <w:tc>
          <w:tcPr>
            <w:tcW w:w="151" w:type="pct"/>
          </w:tcPr>
          <w:p w14:paraId="064514A5"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18.3</w:t>
            </w:r>
          </w:p>
        </w:tc>
        <w:tc>
          <w:tcPr>
            <w:tcW w:w="355" w:type="pct"/>
          </w:tcPr>
          <w:p w14:paraId="2335B83D"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37,034</w:t>
            </w:r>
          </w:p>
        </w:tc>
        <w:tc>
          <w:tcPr>
            <w:tcW w:w="161" w:type="pct"/>
          </w:tcPr>
          <w:p w14:paraId="5EE9BBC6"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0.813</w:t>
            </w:r>
          </w:p>
        </w:tc>
        <w:tc>
          <w:tcPr>
            <w:tcW w:w="199" w:type="pct"/>
          </w:tcPr>
          <w:p w14:paraId="47D57CF0" w14:textId="25B5B46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426CD24" w14:textId="2A0E29E6"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3F98C2A2" w14:textId="0E099CA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26F918C" w14:textId="1986A12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D2F99BF" w14:textId="31F5564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562A382F" w14:textId="1C502FBF"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2CBA5065" w14:textId="1AAB597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02AB0D0F" w14:textId="4E890CA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7720AE2B" w14:textId="06DDB72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3BC6B0E5" w14:textId="7708E91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507D02C1" w14:textId="260AB42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6DF7D7A" w14:textId="57DD0C2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26DDA995" w14:textId="34BA3E0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20BF8110" w14:textId="0D820657"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6DC704AC" w14:textId="577847C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9" w:type="pct"/>
          </w:tcPr>
          <w:p w14:paraId="070B2DBA" w14:textId="2807EFA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26</w:t>
            </w:r>
          </w:p>
        </w:tc>
        <w:tc>
          <w:tcPr>
            <w:tcW w:w="192" w:type="pct"/>
          </w:tcPr>
          <w:p w14:paraId="52E5FA22" w14:textId="1AF6BB14"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70CD5F91"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004981BF" w14:textId="77777777" w:rsidR="00F8548D" w:rsidRDefault="00F8548D" w:rsidP="00F8548D">
            <w:pPr>
              <w:pStyle w:val="TableLeftText"/>
            </w:pPr>
            <w:r>
              <w:rPr>
                <w:color w:val="4A4D56"/>
              </w:rPr>
              <w:t>Retro-Commissioning Initiative</w:t>
            </w:r>
          </w:p>
        </w:tc>
        <w:tc>
          <w:tcPr>
            <w:tcW w:w="151" w:type="pct"/>
          </w:tcPr>
          <w:p w14:paraId="1F031DF5"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w:t>
            </w:r>
          </w:p>
        </w:tc>
        <w:tc>
          <w:tcPr>
            <w:tcW w:w="355" w:type="pct"/>
          </w:tcPr>
          <w:p w14:paraId="55A101D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7,618</w:t>
            </w:r>
          </w:p>
        </w:tc>
        <w:tc>
          <w:tcPr>
            <w:tcW w:w="161" w:type="pct"/>
          </w:tcPr>
          <w:p w14:paraId="1CD17CEA"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0.945</w:t>
            </w:r>
          </w:p>
        </w:tc>
        <w:tc>
          <w:tcPr>
            <w:tcW w:w="199" w:type="pct"/>
          </w:tcPr>
          <w:p w14:paraId="2BB1D9A0" w14:textId="2077C08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0F6A6F0" w14:textId="6BB8C1B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16F40E4" w14:textId="1F5D6AB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41966C2" w14:textId="1170937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D880B19" w14:textId="0AAFD13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71EAA22" w14:textId="539AED41"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E718B22" w14:textId="23CA95C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4F35458" w14:textId="34F6A18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5F78843" w14:textId="4CCE7C9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4335971" w14:textId="11D1D18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0FB1B7E" w14:textId="2349042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C5A89A4" w14:textId="5717957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85F1C64" w14:textId="1FCD11E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3D0EA90" w14:textId="0D913DFD"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0C38607" w14:textId="63D8D5E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7F9B414" w14:textId="623DD32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517E2E91" w14:textId="4808CCD8"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2F85D39B"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1D8374A" w14:textId="77777777" w:rsidR="00F8548D" w:rsidRDefault="00F8548D" w:rsidP="00F8548D">
            <w:pPr>
              <w:pStyle w:val="TableLeftText"/>
            </w:pPr>
            <w:r>
              <w:rPr>
                <w:color w:val="4A4D56"/>
              </w:rPr>
              <w:t>Streetlighting Initiative</w:t>
            </w:r>
          </w:p>
        </w:tc>
        <w:tc>
          <w:tcPr>
            <w:tcW w:w="151" w:type="pct"/>
          </w:tcPr>
          <w:p w14:paraId="2ECDBDDE"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20.0</w:t>
            </w:r>
          </w:p>
        </w:tc>
        <w:tc>
          <w:tcPr>
            <w:tcW w:w="355" w:type="pct"/>
          </w:tcPr>
          <w:p w14:paraId="25F9B907"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12,566</w:t>
            </w:r>
          </w:p>
        </w:tc>
        <w:tc>
          <w:tcPr>
            <w:tcW w:w="161" w:type="pct"/>
          </w:tcPr>
          <w:p w14:paraId="783C110A"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0.999</w:t>
            </w:r>
          </w:p>
        </w:tc>
        <w:tc>
          <w:tcPr>
            <w:tcW w:w="199" w:type="pct"/>
          </w:tcPr>
          <w:p w14:paraId="3366A21F" w14:textId="72D8A6A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36651E9" w14:textId="398A622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7611889" w14:textId="1ABDCFC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2F6FEC9" w14:textId="6DCD591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89935A4" w14:textId="7CCE4F0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8ABBF80" w14:textId="58F866B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FDE730F" w14:textId="28A2D08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3F0CCF6" w14:textId="02EA6C6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7F3A9EC" w14:textId="356EC80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9CA912F" w14:textId="13CA33E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B3098BC" w14:textId="4D51407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26023EA" w14:textId="69A6910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D4E83A7" w14:textId="27A8D7F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81D679F" w14:textId="7A364ECC"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B1D2350" w14:textId="30E60A6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7E0AB21" w14:textId="4AE1C28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5111B627" w14:textId="082CB575"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0D26ED85"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3C13A831" w14:textId="77777777" w:rsidR="00F8548D" w:rsidRDefault="00F8548D" w:rsidP="00F8548D">
            <w:pPr>
              <w:pStyle w:val="TableLeftText"/>
            </w:pPr>
            <w:r>
              <w:rPr>
                <w:color w:val="4A4D56"/>
              </w:rPr>
              <w:t>Small Business Initiative</w:t>
            </w:r>
          </w:p>
        </w:tc>
        <w:tc>
          <w:tcPr>
            <w:tcW w:w="151" w:type="pct"/>
          </w:tcPr>
          <w:p w14:paraId="59283332"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13.7</w:t>
            </w:r>
          </w:p>
        </w:tc>
        <w:tc>
          <w:tcPr>
            <w:tcW w:w="355" w:type="pct"/>
          </w:tcPr>
          <w:p w14:paraId="7640E55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35,240</w:t>
            </w:r>
          </w:p>
        </w:tc>
        <w:tc>
          <w:tcPr>
            <w:tcW w:w="161" w:type="pct"/>
          </w:tcPr>
          <w:p w14:paraId="32AC500B"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0.917</w:t>
            </w:r>
          </w:p>
        </w:tc>
        <w:tc>
          <w:tcPr>
            <w:tcW w:w="199" w:type="pct"/>
          </w:tcPr>
          <w:p w14:paraId="17878A71" w14:textId="6B9684B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5D6DFBA" w14:textId="2DCDD72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F51B1C5" w14:textId="30BC2E6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C1DAC2E" w14:textId="05BBE4D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96343D6" w14:textId="087E788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02E74DB" w14:textId="745965E1"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145E92C" w14:textId="1C4BD75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20F2151" w14:textId="166547E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97DDC39" w14:textId="68DA1EB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C76283C" w14:textId="0B5E636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BF2621C" w14:textId="1D387A4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CAA9D9F" w14:textId="6CE3638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86DA13E" w14:textId="7BCFF39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0CFC87A" w14:textId="3B6DA7BB"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E4ABB06" w14:textId="42078E0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3F5B2B0" w14:textId="4844FCC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33D4FE27" w14:textId="0A6E01FF"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358BC046"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2972C881" w14:textId="77777777" w:rsidR="00F8548D" w:rsidRDefault="00F8548D" w:rsidP="00F8548D">
            <w:pPr>
              <w:pStyle w:val="TableLeftText"/>
            </w:pPr>
            <w:r>
              <w:rPr>
                <w:color w:val="4A4D56"/>
              </w:rPr>
              <w:t>Midstream Initiative</w:t>
            </w:r>
          </w:p>
        </w:tc>
        <w:tc>
          <w:tcPr>
            <w:tcW w:w="151" w:type="pct"/>
          </w:tcPr>
          <w:p w14:paraId="3382D7C1"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14.8</w:t>
            </w:r>
          </w:p>
        </w:tc>
        <w:tc>
          <w:tcPr>
            <w:tcW w:w="355" w:type="pct"/>
          </w:tcPr>
          <w:p w14:paraId="3D9BC741"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30,451</w:t>
            </w:r>
          </w:p>
        </w:tc>
        <w:tc>
          <w:tcPr>
            <w:tcW w:w="161" w:type="pct"/>
          </w:tcPr>
          <w:p w14:paraId="1C37CEAC"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0.974</w:t>
            </w:r>
          </w:p>
        </w:tc>
        <w:tc>
          <w:tcPr>
            <w:tcW w:w="199" w:type="pct"/>
          </w:tcPr>
          <w:p w14:paraId="24006FF5" w14:textId="2F570D0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FD3CAD1" w14:textId="7E55A1D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B189256" w14:textId="4D30002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8B2C1FD" w14:textId="32E515D3"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CC8CB18" w14:textId="55B225B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E243CCB" w14:textId="71C3BF5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F3D3939" w14:textId="047A93B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AC914BF" w14:textId="7BDB35F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F2DE9D0" w14:textId="33886D3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F6F7EF1" w14:textId="01C8356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365CE1A" w14:textId="0BA5179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3A07A50" w14:textId="0790D37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E8111C1" w14:textId="6B64605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892BF8E" w14:textId="0C1D24CD"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00CB6509" w14:textId="4C57559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5EFB176" w14:textId="03C0BFDE"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2777AF45" w14:textId="0C30205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3E16F22B"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4D5C033A" w14:textId="77777777" w:rsidR="00F8548D" w:rsidRDefault="00F8548D" w:rsidP="00F8548D">
            <w:pPr>
              <w:pStyle w:val="TableLeftText"/>
            </w:pPr>
            <w:r>
              <w:rPr>
                <w:color w:val="4A4D56"/>
              </w:rPr>
              <w:t>Business Carryover</w:t>
            </w:r>
          </w:p>
        </w:tc>
        <w:tc>
          <w:tcPr>
            <w:tcW w:w="151" w:type="pct"/>
          </w:tcPr>
          <w:p w14:paraId="5DF4964B"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14.6</w:t>
            </w:r>
          </w:p>
        </w:tc>
        <w:tc>
          <w:tcPr>
            <w:tcW w:w="355" w:type="pct"/>
          </w:tcPr>
          <w:p w14:paraId="0B36AD5E"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3,543</w:t>
            </w:r>
          </w:p>
        </w:tc>
        <w:tc>
          <w:tcPr>
            <w:tcW w:w="161" w:type="pct"/>
          </w:tcPr>
          <w:p w14:paraId="4BA594C3"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0.913</w:t>
            </w:r>
          </w:p>
        </w:tc>
        <w:tc>
          <w:tcPr>
            <w:tcW w:w="199" w:type="pct"/>
          </w:tcPr>
          <w:p w14:paraId="2A48DDB9" w14:textId="484C73C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86ED6BA" w14:textId="6CFA4F2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F307336" w14:textId="6629D41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0C0D00F" w14:textId="2E16D965"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FFAA970" w14:textId="0F57F16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E430D4C" w14:textId="771F9815"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D61EDC1" w14:textId="182CCA8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0EAFA74" w14:textId="1AB23BC2"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196F8DA" w14:textId="417F33B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7D58C53" w14:textId="038E63A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67530C9" w14:textId="56C75B5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8DD4053" w14:textId="5A43EE5B"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AF9778F" w14:textId="79595DB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F6C86C2" w14:textId="03EC299E"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617AAA33" w14:textId="642B2A7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9E04BAE" w14:textId="6E8DC7FA"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6CC4344A" w14:textId="6B5D7C87"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2A4CE63E"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11553C0F" w14:textId="77777777" w:rsidR="00F8548D" w:rsidRDefault="00F8548D" w:rsidP="00F8548D">
            <w:pPr>
              <w:pStyle w:val="TableLeftText"/>
            </w:pPr>
            <w:r>
              <w:rPr>
                <w:color w:val="4A4D56"/>
              </w:rPr>
              <w:t>(b-25) Conversions</w:t>
            </w:r>
          </w:p>
        </w:tc>
        <w:tc>
          <w:tcPr>
            <w:tcW w:w="151" w:type="pct"/>
          </w:tcPr>
          <w:p w14:paraId="0DEDB629"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24.7</w:t>
            </w:r>
          </w:p>
        </w:tc>
        <w:tc>
          <w:tcPr>
            <w:tcW w:w="355" w:type="pct"/>
          </w:tcPr>
          <w:p w14:paraId="73720AE6"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52,789</w:t>
            </w:r>
          </w:p>
        </w:tc>
        <w:tc>
          <w:tcPr>
            <w:tcW w:w="161" w:type="pct"/>
          </w:tcPr>
          <w:p w14:paraId="791908BF" w14:textId="77777777"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0.804</w:t>
            </w:r>
          </w:p>
        </w:tc>
        <w:tc>
          <w:tcPr>
            <w:tcW w:w="199" w:type="pct"/>
          </w:tcPr>
          <w:p w14:paraId="50717681" w14:textId="39BD6EF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BDC1B17" w14:textId="3CFB4579"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6080E3C" w14:textId="6A3C9E8F"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6E16D535" w14:textId="1C974B54"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7CFE420B" w14:textId="51246A21"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138A080" w14:textId="45DA6A71"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47215C2" w14:textId="0FC05AE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7B9835A" w14:textId="6AEF97BA"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2F0DF4C" w14:textId="0C120B8B"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2DB34B04" w14:textId="702A01D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52519B37" w14:textId="079B7AB0"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FBC60C1" w14:textId="0E78F758"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18D88270" w14:textId="42666C3D"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4510D09D" w14:textId="082FF755"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11FED47" w14:textId="5BD37E85"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9" w:type="pct"/>
          </w:tcPr>
          <w:p w14:paraId="30DE9941" w14:textId="14E18DA2" w:rsidR="00F8548D" w:rsidRPr="006A5396"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pPr>
            <w:r>
              <w:rPr>
                <w:color w:val="4A4D56"/>
              </w:rPr>
              <w:t>0</w:t>
            </w:r>
          </w:p>
        </w:tc>
        <w:tc>
          <w:tcPr>
            <w:tcW w:w="192" w:type="pct"/>
          </w:tcPr>
          <w:p w14:paraId="66AA31FF" w14:textId="1527C8E9"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color w:val="4A4D56"/>
              </w:rPr>
            </w:pPr>
            <w:r>
              <w:rPr>
                <w:color w:val="4A4D56"/>
              </w:rPr>
              <w:t>0</w:t>
            </w:r>
          </w:p>
        </w:tc>
      </w:tr>
      <w:tr w:rsidR="00F8548D" w14:paraId="17735E52"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Pr>
          <w:p w14:paraId="6329B3DC" w14:textId="77777777" w:rsidR="00F8548D" w:rsidRDefault="00F8548D" w:rsidP="00F8548D">
            <w:pPr>
              <w:pStyle w:val="TableLeftText"/>
            </w:pPr>
            <w:r>
              <w:rPr>
                <w:color w:val="4A4D56"/>
              </w:rPr>
              <w:t>Voltage Optimization Program</w:t>
            </w:r>
          </w:p>
        </w:tc>
        <w:tc>
          <w:tcPr>
            <w:tcW w:w="151" w:type="pct"/>
          </w:tcPr>
          <w:p w14:paraId="51E5E8DF"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15.0</w:t>
            </w:r>
          </w:p>
        </w:tc>
        <w:tc>
          <w:tcPr>
            <w:tcW w:w="355" w:type="pct"/>
          </w:tcPr>
          <w:p w14:paraId="7C2386B4"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77,169</w:t>
            </w:r>
          </w:p>
        </w:tc>
        <w:tc>
          <w:tcPr>
            <w:tcW w:w="161" w:type="pct"/>
          </w:tcPr>
          <w:p w14:paraId="79F3A378" w14:textId="77777777"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1.000</w:t>
            </w:r>
          </w:p>
        </w:tc>
        <w:tc>
          <w:tcPr>
            <w:tcW w:w="199" w:type="pct"/>
          </w:tcPr>
          <w:p w14:paraId="12D32B02" w14:textId="40CF984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A259B4E" w14:textId="6359861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1FC3E64A" w14:textId="5B30004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9666E63" w14:textId="7687118F"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9A5AD13" w14:textId="058866B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3ED74F6" w14:textId="7CE83D78"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57ACF102" w14:textId="19DB8EC0"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20A6CC4B" w14:textId="7C8245A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9F828AC" w14:textId="64C5633C"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003D16A5" w14:textId="69E448C9"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29A6858" w14:textId="420C71ED"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8A1DED9" w14:textId="05AAF4E1"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34EEFBC1" w14:textId="129F14C3"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4F3CFB8C" w14:textId="2F2EA34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18AFAEE" w14:textId="1478D806"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9" w:type="pct"/>
          </w:tcPr>
          <w:p w14:paraId="7BC96AD4" w14:textId="6825D4AE" w:rsidR="00F8548D" w:rsidRPr="006A5396"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pPr>
            <w:r>
              <w:rPr>
                <w:color w:val="4A4D56"/>
              </w:rPr>
              <w:t>0</w:t>
            </w:r>
          </w:p>
        </w:tc>
        <w:tc>
          <w:tcPr>
            <w:tcW w:w="192" w:type="pct"/>
          </w:tcPr>
          <w:p w14:paraId="79143648" w14:textId="239497FA"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color w:val="4A4D56"/>
              </w:rPr>
            </w:pPr>
            <w:r>
              <w:rPr>
                <w:color w:val="4A4D56"/>
              </w:rPr>
              <w:t>0</w:t>
            </w:r>
          </w:p>
        </w:tc>
      </w:tr>
      <w:tr w:rsidR="00F8548D" w14:paraId="7AEAADA9"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3FF63480"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tcBorders>
            <w:shd w:val="clear" w:color="auto" w:fill="D9D9D9"/>
          </w:tcPr>
          <w:p w14:paraId="6348DBA1"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 </w:t>
            </w:r>
          </w:p>
        </w:tc>
        <w:tc>
          <w:tcPr>
            <w:tcW w:w="355" w:type="pct"/>
            <w:shd w:val="clear" w:color="auto" w:fill="D9D9D9"/>
          </w:tcPr>
          <w:p w14:paraId="7D1E941D"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482,472</w:t>
            </w:r>
          </w:p>
        </w:tc>
        <w:tc>
          <w:tcPr>
            <w:tcW w:w="161" w:type="pct"/>
            <w:shd w:val="clear" w:color="auto" w:fill="D9D9D9"/>
          </w:tcPr>
          <w:p w14:paraId="19251A91"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0.910</w:t>
            </w:r>
          </w:p>
        </w:tc>
        <w:tc>
          <w:tcPr>
            <w:tcW w:w="199" w:type="pct"/>
            <w:shd w:val="clear" w:color="auto" w:fill="D9D9D9"/>
          </w:tcPr>
          <w:p w14:paraId="3F78F43C" w14:textId="3C6232E2"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1E3E672F" w14:textId="1F9EB48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5B093131" w14:textId="00A2E056"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0AB10AB5" w14:textId="1C25631C"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44F4766E" w14:textId="04C7E83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71702809" w14:textId="26684F4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76BCC572" w14:textId="5E73635A"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42EFA112" w14:textId="1200F42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7E0316B6" w14:textId="6E5FB4A3"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578B48E4" w14:textId="21EBF33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15782793" w14:textId="2327DC6D"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3D92F696" w14:textId="7466B4F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4A0ABD92" w14:textId="1859129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19176528" w14:textId="2C4E8001"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31905E36" w14:textId="19C809E3"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9" w:type="pct"/>
            <w:shd w:val="clear" w:color="auto" w:fill="D9D9D9"/>
          </w:tcPr>
          <w:p w14:paraId="0A7B1DAE" w14:textId="0E5517BC"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26</w:t>
            </w:r>
          </w:p>
        </w:tc>
        <w:tc>
          <w:tcPr>
            <w:tcW w:w="192" w:type="pct"/>
            <w:shd w:val="clear" w:color="auto" w:fill="D9D9D9"/>
          </w:tcPr>
          <w:p w14:paraId="302E4A71" w14:textId="4668E9C8"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0</w:t>
            </w:r>
          </w:p>
        </w:tc>
      </w:tr>
      <w:tr w:rsidR="00F8548D" w14:paraId="44DA9696" w14:textId="77777777" w:rsidTr="009F258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181519B8"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Expiring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7C885BEA"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163B296E"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76B11987" w14:textId="77777777" w:rsidR="00F8548D" w:rsidRPr="00B63B6D" w:rsidRDefault="00F8548D" w:rsidP="00F8548D">
            <w:pPr>
              <w:pStyle w:val="TableCenterTex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p>
        </w:tc>
        <w:tc>
          <w:tcPr>
            <w:tcW w:w="199" w:type="pct"/>
            <w:shd w:val="clear" w:color="auto" w:fill="D9D9D9"/>
          </w:tcPr>
          <w:p w14:paraId="032D5592" w14:textId="69240A76"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7D386986" w14:textId="1E61D94E"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78352F51" w14:textId="126BC219"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2B652E16" w14:textId="246135AD"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56,280</w:t>
            </w:r>
          </w:p>
        </w:tc>
        <w:tc>
          <w:tcPr>
            <w:tcW w:w="199" w:type="pct"/>
            <w:shd w:val="clear" w:color="auto" w:fill="D9D9D9"/>
          </w:tcPr>
          <w:p w14:paraId="63A5DEFA" w14:textId="1399FBB9"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6D68069E" w14:textId="526EFF16"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4AD2C785" w14:textId="4469C899"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133D175B" w14:textId="50677C5E"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29B5AFF6" w14:textId="01C5CD9E"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3A2C4928" w14:textId="3CDEFCF7"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4FFF66BC" w14:textId="50480D91"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14152705" w14:textId="06A56930"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0A86B3CD" w14:textId="13809DDB"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6CAC6FCD" w14:textId="22370C95"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2E49EB62" w14:textId="22C1D787"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9" w:type="pct"/>
            <w:shd w:val="clear" w:color="auto" w:fill="D9D9D9"/>
          </w:tcPr>
          <w:p w14:paraId="64D7D542" w14:textId="2D7C89C2" w:rsidR="00F8548D" w:rsidRPr="00B63B6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rPr>
            </w:pPr>
            <w:r>
              <w:rPr>
                <w:rFonts w:ascii="Franklin Gothic Medium" w:hAnsi="Franklin Gothic Medium"/>
                <w:color w:val="4A4D56"/>
              </w:rPr>
              <w:t>0</w:t>
            </w:r>
          </w:p>
        </w:tc>
        <w:tc>
          <w:tcPr>
            <w:tcW w:w="192" w:type="pct"/>
            <w:shd w:val="clear" w:color="auto" w:fill="D9D9D9"/>
          </w:tcPr>
          <w:p w14:paraId="471D29D4" w14:textId="1011DB92" w:rsidR="00F8548D" w:rsidRDefault="00F8548D" w:rsidP="00F8548D">
            <w:pPr>
              <w:pStyle w:val="TableCenterText"/>
              <w:jc w:val="right"/>
              <w:cnfStyle w:val="000000010000" w:firstRow="0" w:lastRow="0" w:firstColumn="0" w:lastColumn="0" w:oddVBand="0" w:evenVBand="0" w:oddHBand="0" w:evenHBand="1"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26</w:t>
            </w:r>
          </w:p>
        </w:tc>
      </w:tr>
      <w:tr w:rsidR="00F8548D" w14:paraId="6307BBDB" w14:textId="77777777" w:rsidTr="009F25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shd w:val="clear" w:color="auto" w:fill="D9D9D9"/>
          </w:tcPr>
          <w:p w14:paraId="10CFD9E7" w14:textId="77777777" w:rsidR="00F8548D" w:rsidRPr="00B63B6D" w:rsidRDefault="00F8548D" w:rsidP="00F8548D">
            <w:pPr>
              <w:pStyle w:val="TableLeftText"/>
              <w:rPr>
                <w:rFonts w:ascii="Franklin Gothic Medium" w:hAnsi="Franklin Gothic Medium"/>
              </w:rPr>
            </w:pPr>
            <w:r w:rsidRPr="00B63B6D">
              <w:rPr>
                <w:rFonts w:ascii="Franklin Gothic Medium" w:hAnsi="Franklin Gothic Medium"/>
              </w:rPr>
              <w:t>Expired 202</w:t>
            </w:r>
            <w:r>
              <w:rPr>
                <w:rFonts w:ascii="Franklin Gothic Medium" w:hAnsi="Franklin Gothic Medium"/>
              </w:rPr>
              <w:t>4</w:t>
            </w:r>
            <w:r w:rsidRPr="00B63B6D">
              <w:rPr>
                <w:rFonts w:ascii="Franklin Gothic Medium" w:hAnsi="Franklin Gothic Medium"/>
              </w:rPr>
              <w:t xml:space="preserve"> CPAS</w:t>
            </w:r>
          </w:p>
        </w:tc>
        <w:tc>
          <w:tcPr>
            <w:tcW w:w="151" w:type="pct"/>
            <w:tcBorders>
              <w:left w:val="nil"/>
              <w:right w:val="nil"/>
            </w:tcBorders>
            <w:shd w:val="clear" w:color="auto" w:fill="D9D9D9"/>
          </w:tcPr>
          <w:p w14:paraId="10E72B7E" w14:textId="7777777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355" w:type="pct"/>
            <w:tcBorders>
              <w:left w:val="nil"/>
              <w:right w:val="nil"/>
            </w:tcBorders>
            <w:shd w:val="clear" w:color="auto" w:fill="D9D9D9"/>
          </w:tcPr>
          <w:p w14:paraId="0F7C3993"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61" w:type="pct"/>
            <w:tcBorders>
              <w:left w:val="nil"/>
            </w:tcBorders>
            <w:shd w:val="clear" w:color="auto" w:fill="D9D9D9"/>
          </w:tcPr>
          <w:p w14:paraId="2BB963BE" w14:textId="77777777" w:rsidR="00F8548D" w:rsidRPr="00B63B6D" w:rsidRDefault="00F8548D" w:rsidP="00F8548D">
            <w:pPr>
              <w:pStyle w:val="TableCenterT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p>
        </w:tc>
        <w:tc>
          <w:tcPr>
            <w:tcW w:w="199" w:type="pct"/>
            <w:shd w:val="clear" w:color="auto" w:fill="D9D9D9"/>
          </w:tcPr>
          <w:p w14:paraId="0234315D" w14:textId="4A32A28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27567F40" w14:textId="388B824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3C5C7226" w14:textId="4F2F3102"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4193F99D" w14:textId="778AF388"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64DBE5C2" w14:textId="26A65764"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630A28A1" w14:textId="215FA31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17C58A92" w14:textId="7121E9C0"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1061D3F7" w14:textId="5E977787"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140D64CE" w14:textId="4056FE3F"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60E0DD8B" w14:textId="026431FC"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2DA00BDE" w14:textId="63B05729"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6FF40C7A" w14:textId="23BFD87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008F9371" w14:textId="539A35B5"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1F1817EA" w14:textId="73E43C12"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7A5A38E2" w14:textId="075D8A0D"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9" w:type="pct"/>
            <w:shd w:val="clear" w:color="auto" w:fill="D9D9D9"/>
          </w:tcPr>
          <w:p w14:paraId="72452960" w14:textId="66F9D9BE" w:rsidR="00F8548D" w:rsidRPr="00B63B6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rPr>
            </w:pPr>
            <w:r>
              <w:rPr>
                <w:rFonts w:ascii="Franklin Gothic Medium" w:hAnsi="Franklin Gothic Medium"/>
                <w:color w:val="4A4D56"/>
              </w:rPr>
              <w:t>438,947</w:t>
            </w:r>
          </w:p>
        </w:tc>
        <w:tc>
          <w:tcPr>
            <w:tcW w:w="192" w:type="pct"/>
            <w:shd w:val="clear" w:color="auto" w:fill="D9D9D9"/>
          </w:tcPr>
          <w:p w14:paraId="6251466D" w14:textId="56BC4168" w:rsidR="00F8548D" w:rsidRDefault="00F8548D" w:rsidP="00F8548D">
            <w:pPr>
              <w:pStyle w:val="TableCenterText"/>
              <w:jc w:val="right"/>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4A4D56"/>
              </w:rPr>
            </w:pPr>
            <w:r>
              <w:rPr>
                <w:rFonts w:ascii="Franklin Gothic Medium" w:hAnsi="Franklin Gothic Medium"/>
                <w:color w:val="4A4D56"/>
              </w:rPr>
              <w:t>438,973</w:t>
            </w:r>
          </w:p>
        </w:tc>
      </w:tr>
    </w:tbl>
    <w:p w14:paraId="73FD9650" w14:textId="77777777" w:rsidR="00794A23" w:rsidRDefault="00794A23" w:rsidP="00455E81">
      <w:pPr>
        <w:sectPr w:rsidR="00794A23" w:rsidSect="00067DBC">
          <w:type w:val="continuous"/>
          <w:pgSz w:w="24494" w:h="15819" w:orient="landscape" w:code="8"/>
          <w:pgMar w:top="567" w:right="567" w:bottom="567" w:left="567" w:header="567" w:footer="340" w:gutter="0"/>
          <w:cols w:space="708"/>
          <w:docGrid w:linePitch="360"/>
        </w:sectPr>
      </w:pPr>
    </w:p>
    <w:p w14:paraId="5EDE64C3" w14:textId="57C10421" w:rsidR="00B71E6A" w:rsidRDefault="00067DBC" w:rsidP="00E37377">
      <w:pPr>
        <w:pStyle w:val="Alpha"/>
      </w:pPr>
      <w:bookmarkStart w:id="103" w:name="_Toc192774874"/>
      <w:r>
        <w:lastRenderedPageBreak/>
        <w:t>2024 High Impact Measure List</w:t>
      </w:r>
      <w:bookmarkEnd w:id="103"/>
    </w:p>
    <w:p w14:paraId="642D2C13" w14:textId="786AA1AE" w:rsidR="00067DBC" w:rsidRDefault="00067DBC" w:rsidP="00067DBC">
      <w:r>
        <w:t>The 2024 high impact measure list is in development and will be included in the final version of this report.</w:t>
      </w:r>
    </w:p>
    <w:p w14:paraId="040CCA89" w14:textId="77777777" w:rsidR="007A33CA" w:rsidRDefault="007A33CA" w:rsidP="007A33CA"/>
    <w:p w14:paraId="79C2AF60" w14:textId="77777777" w:rsidR="007A33CA" w:rsidRPr="007A33CA" w:rsidRDefault="007A33CA" w:rsidP="007A33CA">
      <w:pPr>
        <w:sectPr w:rsidR="007A33CA" w:rsidRPr="007A33CA" w:rsidSect="00396BCB">
          <w:headerReference w:type="default" r:id="rId28"/>
          <w:footerReference w:type="default" r:id="rId29"/>
          <w:pgSz w:w="12240" w:h="15840" w:code="1"/>
          <w:pgMar w:top="567" w:right="567" w:bottom="567" w:left="567" w:header="567" w:footer="340" w:gutter="0"/>
          <w:cols w:space="708"/>
          <w:docGrid w:linePitch="360"/>
        </w:sectPr>
      </w:pPr>
    </w:p>
    <w:p w14:paraId="3CCEEC43" w14:textId="77777777" w:rsidR="00344C23" w:rsidRPr="00344C23" w:rsidRDefault="00344C23" w:rsidP="00344C23">
      <w:r>
        <w:rPr>
          <w:noProof/>
        </w:rPr>
        <w:lastRenderedPageBreak/>
        <w:drawing>
          <wp:anchor distT="0" distB="0" distL="114300" distR="114300" simplePos="0" relativeHeight="251660288" behindDoc="1" locked="0" layoutInCell="1" allowOverlap="1" wp14:anchorId="6EF318A5" wp14:editId="0C315655">
            <wp:simplePos x="0" y="0"/>
            <wp:positionH relativeFrom="page">
              <wp:posOffset>0</wp:posOffset>
            </wp:positionH>
            <wp:positionV relativeFrom="page">
              <wp:posOffset>-11290</wp:posOffset>
            </wp:positionV>
            <wp:extent cx="7762240" cy="10044430"/>
            <wp:effectExtent l="0" t="0" r="0" b="0"/>
            <wp:wrapTight wrapText="bothSides">
              <wp:wrapPolygon edited="0">
                <wp:start x="0" y="0"/>
                <wp:lineTo x="0" y="21548"/>
                <wp:lineTo x="21522" y="21548"/>
                <wp:lineTo x="21522" y="0"/>
                <wp:lineTo x="0" y="0"/>
              </wp:wrapPolygon>
            </wp:wrapTight>
            <wp:docPr id="1332878285"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78285" name="Picture 1" descr="A picture containing text, screenshot, font, desig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62240" cy="100444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0D215C67" wp14:editId="1703FDB1">
                <wp:simplePos x="0" y="0"/>
                <wp:positionH relativeFrom="column">
                  <wp:posOffset>117475</wp:posOffset>
                </wp:positionH>
                <wp:positionV relativeFrom="paragraph">
                  <wp:posOffset>5547360</wp:posOffset>
                </wp:positionV>
                <wp:extent cx="6844030" cy="1466850"/>
                <wp:effectExtent l="0" t="0" r="0" b="0"/>
                <wp:wrapSquare wrapText="bothSides"/>
                <wp:docPr id="2059270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1466850"/>
                        </a:xfrm>
                        <a:prstGeom prst="rect">
                          <a:avLst/>
                        </a:prstGeom>
                        <a:noFill/>
                        <a:ln w="9525">
                          <a:noFill/>
                          <a:miter lim="800000"/>
                          <a:headEnd/>
                          <a:tailEnd/>
                        </a:ln>
                      </wps:spPr>
                      <wps:txbx>
                        <w:txbxContent>
                          <w:p w14:paraId="4A1FBF35" w14:textId="77777777" w:rsidR="00344C23" w:rsidRDefault="00344C23" w:rsidP="00344C23">
                            <w:pPr>
                              <w:pStyle w:val="Subtitle"/>
                              <w:ind w:left="0"/>
                            </w:pPr>
                            <w:r>
                              <w:t>Contact:</w:t>
                            </w:r>
                          </w:p>
                          <w:p w14:paraId="3EF73D4E" w14:textId="696EDFD4" w:rsidR="00344C23" w:rsidRPr="005C0286" w:rsidRDefault="00067DBC" w:rsidP="00344C23">
                            <w:pPr>
                              <w:pStyle w:val="BodyText"/>
                              <w:rPr>
                                <w:sz w:val="28"/>
                                <w:szCs w:val="28"/>
                              </w:rPr>
                            </w:pPr>
                            <w:r>
                              <w:rPr>
                                <w:sz w:val="28"/>
                                <w:szCs w:val="28"/>
                              </w:rPr>
                              <w:t>Zach Ross</w:t>
                            </w:r>
                            <w:r w:rsidR="00344C23">
                              <w:rPr>
                                <w:sz w:val="28"/>
                                <w:szCs w:val="28"/>
                              </w:rPr>
                              <w:br/>
                            </w:r>
                            <w:r>
                              <w:rPr>
                                <w:sz w:val="28"/>
                                <w:szCs w:val="28"/>
                              </w:rPr>
                              <w:t>Director</w:t>
                            </w:r>
                            <w:r w:rsidR="00344C23">
                              <w:rPr>
                                <w:sz w:val="28"/>
                                <w:szCs w:val="28"/>
                              </w:rPr>
                              <w:br/>
                            </w:r>
                            <w:r>
                              <w:rPr>
                                <w:sz w:val="28"/>
                                <w:szCs w:val="28"/>
                              </w:rPr>
                              <w:t>zross</w:t>
                            </w:r>
                            <w:r w:rsidR="00344C23" w:rsidRPr="005C0286">
                              <w:rPr>
                                <w:sz w:val="28"/>
                                <w:szCs w:val="28"/>
                              </w:rPr>
                              <w:t>@opiniondynamics.com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5C67" id="_x0000_s1027" type="#_x0000_t202" style="position:absolute;margin-left:9.25pt;margin-top:436.8pt;width:538.9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" filled="f" stroked="f">
                <v:textbox>
                  <w:txbxContent>
                    <w:p w14:paraId="4A1FBF35" w14:textId="77777777" w:rsidR="00344C23" w:rsidRDefault="00344C23" w:rsidP="00344C23">
                      <w:pPr>
                        <w:pStyle w:val="Subtitle"/>
                        <w:ind w:left="0"/>
                      </w:pPr>
                      <w:r>
                        <w:t>Contact:</w:t>
                      </w:r>
                    </w:p>
                    <w:p w14:paraId="3EF73D4E" w14:textId="696EDFD4" w:rsidR="00344C23" w:rsidRPr="005C0286" w:rsidRDefault="00067DBC" w:rsidP="00344C23">
                      <w:pPr>
                        <w:pStyle w:val="BodyText"/>
                        <w:rPr>
                          <w:sz w:val="28"/>
                          <w:szCs w:val="28"/>
                        </w:rPr>
                      </w:pPr>
                      <w:r>
                        <w:rPr>
                          <w:sz w:val="28"/>
                          <w:szCs w:val="28"/>
                        </w:rPr>
                        <w:t>Zach Ross</w:t>
                      </w:r>
                      <w:r w:rsidR="00344C23">
                        <w:rPr>
                          <w:sz w:val="28"/>
                          <w:szCs w:val="28"/>
                        </w:rPr>
                        <w:br/>
                      </w:r>
                      <w:r>
                        <w:rPr>
                          <w:sz w:val="28"/>
                          <w:szCs w:val="28"/>
                        </w:rPr>
                        <w:t>Director</w:t>
                      </w:r>
                      <w:r w:rsidR="00344C23">
                        <w:rPr>
                          <w:sz w:val="28"/>
                          <w:szCs w:val="28"/>
                        </w:rPr>
                        <w:br/>
                      </w:r>
                      <w:r>
                        <w:rPr>
                          <w:sz w:val="28"/>
                          <w:szCs w:val="28"/>
                        </w:rPr>
                        <w:t>zross</w:t>
                      </w:r>
                      <w:r w:rsidR="00344C23" w:rsidRPr="005C0286">
                        <w:rPr>
                          <w:sz w:val="28"/>
                          <w:szCs w:val="28"/>
                        </w:rPr>
                        <w:t>@opiniondynamics.com</w:t>
                      </w:r>
                    </w:p>
                  </w:txbxContent>
                </v:textbox>
                <w10:wrap type="square"/>
              </v:shape>
            </w:pict>
          </mc:Fallback>
        </mc:AlternateContent>
      </w:r>
    </w:p>
    <w:sectPr w:rsidR="00344C23" w:rsidRPr="00344C23" w:rsidSect="00396BCB">
      <w:headerReference w:type="default" r:id="rId31"/>
      <w:pgSz w:w="12240" w:h="15840" w:code="1"/>
      <w:pgMar w:top="0" w:right="567" w:bottom="567" w:left="567" w:header="567"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Zachary Ross" w:date="2025-03-13T15:58:00Z" w:initials="ZR">
    <w:p w14:paraId="6DC77091" w14:textId="77777777" w:rsidR="00B61EFC" w:rsidRDefault="00B61EFC" w:rsidP="00B61EFC">
      <w:pPr>
        <w:pStyle w:val="CommentText"/>
      </w:pPr>
      <w:r>
        <w:rPr>
          <w:rStyle w:val="CommentReference"/>
        </w:rPr>
        <w:annotationRef/>
      </w:r>
      <w:r>
        <w:t>These results will be provided in a forthcoming draft of the Integrated Report once incremental cost analysis for 2024 is complete.</w:t>
      </w:r>
    </w:p>
  </w:comment>
  <w:comment w:id="91" w:author="Zachary Ross" w:date="2025-03-13T16:00:00Z" w:initials="ZR">
    <w:p w14:paraId="5D751229" w14:textId="77777777" w:rsidR="00B61EFC" w:rsidRDefault="00B61EFC" w:rsidP="00B61EFC">
      <w:pPr>
        <w:pStyle w:val="CommentText"/>
      </w:pPr>
      <w:r>
        <w:rPr>
          <w:rStyle w:val="CommentReference"/>
        </w:rPr>
        <w:annotationRef/>
      </w:r>
      <w:r>
        <w:t>These tables will be completed in a forthcoming draft of the Integrated Report when all 2024 AIC program costs are made available and additional analysis is completed to develop gas WAMLs.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C77091" w15:done="0"/>
  <w15:commentEx w15:paraId="5D751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BC27AB" w16cex:dateUtc="2025-03-13T19:58:00Z"/>
  <w16cex:commentExtensible w16cex:durableId="55C4C8C8" w16cex:dateUtc="2025-03-13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C77091" w16cid:durableId="2CBC27AB"/>
  <w16cid:commentId w16cid:paraId="5D751229" w16cid:durableId="55C4C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FBEE" w14:textId="77777777" w:rsidR="00527C32" w:rsidRDefault="00527C32">
      <w:pPr>
        <w:spacing w:after="0" w:line="240" w:lineRule="auto"/>
      </w:pPr>
      <w:r>
        <w:separator/>
      </w:r>
    </w:p>
    <w:p w14:paraId="1A819D80" w14:textId="77777777" w:rsidR="00527C32" w:rsidRDefault="00527C32"/>
  </w:endnote>
  <w:endnote w:type="continuationSeparator" w:id="0">
    <w:p w14:paraId="5472CF26" w14:textId="77777777" w:rsidR="00527C32" w:rsidRDefault="00527C32">
      <w:pPr>
        <w:spacing w:after="0" w:line="240" w:lineRule="auto"/>
      </w:pPr>
      <w:r>
        <w:continuationSeparator/>
      </w:r>
    </w:p>
    <w:p w14:paraId="5381B93F" w14:textId="77777777" w:rsidR="00527C32" w:rsidRDefault="0052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ift Soft">
    <w:panose1 w:val="00000500000000000000"/>
    <w:charset w:val="00"/>
    <w:family w:val="modern"/>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Rift Soft Medium">
    <w:altName w:val="Calibri"/>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Rift Sof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0" w:type="auto"/>
      <w:tblLayout w:type="fixed"/>
      <w:tblLook w:val="04A0" w:firstRow="1" w:lastRow="0" w:firstColumn="1" w:lastColumn="0" w:noHBand="0" w:noVBand="1"/>
    </w:tblPr>
    <w:tblGrid>
      <w:gridCol w:w="5548"/>
      <w:gridCol w:w="5548"/>
    </w:tblGrid>
    <w:tr w:rsidR="00527C32" w:rsidRPr="00EF048B" w14:paraId="2C1603A4"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73485B16" w14:textId="77777777" w:rsidR="00527C32" w:rsidRPr="00EF048B" w:rsidRDefault="00527C32" w:rsidP="001F322C">
          <w:pPr>
            <w:pStyle w:val="Footer"/>
            <w:jc w:val="left"/>
          </w:pPr>
          <w:r w:rsidRPr="00CB54CF">
            <w:t>Opinion Dynamics</w:t>
          </w:r>
        </w:p>
      </w:tc>
      <w:tc>
        <w:tcPr>
          <w:tcW w:w="5548" w:type="dxa"/>
        </w:tcPr>
        <w:p w14:paraId="39DB45EA" w14:textId="77777777" w:rsidR="00527C32" w:rsidRPr="00EF048B" w:rsidRDefault="00527C32" w:rsidP="001F322C">
          <w:pPr>
            <w:pStyle w:val="Footer"/>
          </w:pP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6396780D" w14:textId="77777777" w:rsidR="00527C32" w:rsidRDefault="00527C32" w:rsidP="001F322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0" w:type="auto"/>
      <w:tblLayout w:type="fixed"/>
      <w:tblLook w:val="04A0" w:firstRow="1" w:lastRow="0" w:firstColumn="1" w:lastColumn="0" w:noHBand="0" w:noVBand="1"/>
    </w:tblPr>
    <w:tblGrid>
      <w:gridCol w:w="5548"/>
      <w:gridCol w:w="5548"/>
    </w:tblGrid>
    <w:tr w:rsidR="00D46533" w:rsidRPr="00EF048B" w14:paraId="2184756C"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235B5562" w14:textId="77777777" w:rsidR="00D46533" w:rsidRPr="00EF048B" w:rsidRDefault="00D46533" w:rsidP="001F322C">
          <w:pPr>
            <w:pStyle w:val="Footer"/>
            <w:jc w:val="left"/>
          </w:pPr>
          <w:r w:rsidRPr="00CB54CF">
            <w:t>Opinion Dynamics</w:t>
          </w:r>
        </w:p>
      </w:tc>
      <w:tc>
        <w:tcPr>
          <w:tcW w:w="5548" w:type="dxa"/>
        </w:tcPr>
        <w:p w14:paraId="01E74D13" w14:textId="77777777" w:rsidR="00D46533" w:rsidRPr="00EF048B" w:rsidRDefault="00D46533" w:rsidP="001F322C">
          <w:pPr>
            <w:pStyle w:val="Footer"/>
          </w:pPr>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71996775" w14:textId="77777777" w:rsidR="00D46533" w:rsidRDefault="00D46533" w:rsidP="001F322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5000" w:type="pct"/>
      <w:tblLook w:val="04A0" w:firstRow="1" w:lastRow="0" w:firstColumn="1" w:lastColumn="0" w:noHBand="0" w:noVBand="1"/>
    </w:tblPr>
    <w:tblGrid>
      <w:gridCol w:w="2776"/>
      <w:gridCol w:w="2776"/>
      <w:gridCol w:w="2777"/>
      <w:gridCol w:w="2777"/>
    </w:tblGrid>
    <w:tr w:rsidR="005C27B9" w14:paraId="3559B69E" w14:textId="77777777" w:rsidTr="004D2B53">
      <w:trPr>
        <w:cnfStyle w:val="100000000000" w:firstRow="1" w:lastRow="0" w:firstColumn="0" w:lastColumn="0" w:oddVBand="0" w:evenVBand="0" w:oddHBand="0" w:evenHBand="0" w:firstRowFirstColumn="0" w:firstRowLastColumn="0" w:lastRowFirstColumn="0" w:lastRowLastColumn="0"/>
      </w:trPr>
      <w:tc>
        <w:tcPr>
          <w:tcW w:w="1250" w:type="pct"/>
        </w:tcPr>
        <w:p w14:paraId="2D91EC0D" w14:textId="77777777" w:rsidR="005C27B9" w:rsidRPr="00EF048B" w:rsidRDefault="005C27B9" w:rsidP="000F5311">
          <w:pPr>
            <w:pStyle w:val="Footer"/>
            <w:jc w:val="left"/>
          </w:pPr>
          <w:r w:rsidRPr="00CB54CF">
            <w:t>Opinion Dynamics</w:t>
          </w:r>
        </w:p>
      </w:tc>
      <w:tc>
        <w:tcPr>
          <w:tcW w:w="1250" w:type="pct"/>
        </w:tcPr>
        <w:p w14:paraId="521988A3" w14:textId="77777777" w:rsidR="005C27B9" w:rsidRPr="00EF048B" w:rsidRDefault="005C27B9" w:rsidP="000F5311">
          <w:pPr>
            <w:pStyle w:val="Footer"/>
          </w:pPr>
        </w:p>
      </w:tc>
      <w:tc>
        <w:tcPr>
          <w:tcW w:w="1250" w:type="pct"/>
        </w:tcPr>
        <w:p w14:paraId="389BADDB" w14:textId="77777777" w:rsidR="005C27B9" w:rsidRPr="00EF048B" w:rsidRDefault="005C27B9" w:rsidP="000F5311">
          <w:pPr>
            <w:pStyle w:val="Footer"/>
          </w:pPr>
        </w:p>
      </w:tc>
      <w:tc>
        <w:tcPr>
          <w:tcW w:w="1250" w:type="pct"/>
        </w:tcPr>
        <w:p w14:paraId="47697FD4" w14:textId="77777777" w:rsidR="005C27B9" w:rsidRPr="00134ABC" w:rsidRDefault="005C27B9" w:rsidP="000F5311">
          <w:pPr>
            <w:pStyle w:val="Footer"/>
          </w:pPr>
          <w:r w:rsidRPr="00CB54CF">
            <w:t xml:space="preserve">| </w:t>
          </w:r>
          <w:r w:rsidRPr="00CB54CF">
            <w:fldChar w:fldCharType="begin"/>
          </w:r>
          <w:r w:rsidRPr="00CB54CF">
            <w:instrText xml:space="preserve"> PAGE   \* MERGEFORMAT </w:instrText>
          </w:r>
          <w:r w:rsidRPr="00CB54CF">
            <w:fldChar w:fldCharType="separate"/>
          </w:r>
          <w:r>
            <w:t>5</w:t>
          </w:r>
          <w:r w:rsidRPr="00CB54CF">
            <w:fldChar w:fldCharType="end"/>
          </w:r>
        </w:p>
      </w:tc>
    </w:tr>
  </w:tbl>
  <w:p w14:paraId="4DBF93A1" w14:textId="77777777" w:rsidR="005C27B9" w:rsidRDefault="005C27B9" w:rsidP="005776D9">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5000" w:type="pct"/>
      <w:tblLook w:val="04A0" w:firstRow="1" w:lastRow="0" w:firstColumn="1" w:lastColumn="0" w:noHBand="0" w:noVBand="1"/>
    </w:tblPr>
    <w:tblGrid>
      <w:gridCol w:w="5840"/>
      <w:gridCol w:w="5840"/>
      <w:gridCol w:w="5840"/>
      <w:gridCol w:w="5840"/>
    </w:tblGrid>
    <w:tr w:rsidR="00067DBC" w14:paraId="706E84BA" w14:textId="77777777" w:rsidTr="004D2B53">
      <w:trPr>
        <w:cnfStyle w:val="100000000000" w:firstRow="1" w:lastRow="0" w:firstColumn="0" w:lastColumn="0" w:oddVBand="0" w:evenVBand="0" w:oddHBand="0" w:evenHBand="0" w:firstRowFirstColumn="0" w:firstRowLastColumn="0" w:lastRowFirstColumn="0" w:lastRowLastColumn="0"/>
      </w:trPr>
      <w:tc>
        <w:tcPr>
          <w:tcW w:w="1250" w:type="pct"/>
        </w:tcPr>
        <w:p w14:paraId="0FB66482" w14:textId="77777777" w:rsidR="00067DBC" w:rsidRPr="00EF048B" w:rsidRDefault="00067DBC" w:rsidP="000F5311">
          <w:pPr>
            <w:pStyle w:val="Footer"/>
            <w:jc w:val="left"/>
          </w:pPr>
          <w:r w:rsidRPr="00CB54CF">
            <w:t>Opinion Dynamics</w:t>
          </w:r>
        </w:p>
      </w:tc>
      <w:tc>
        <w:tcPr>
          <w:tcW w:w="1250" w:type="pct"/>
        </w:tcPr>
        <w:p w14:paraId="633A98BB" w14:textId="77777777" w:rsidR="00067DBC" w:rsidRPr="00EF048B" w:rsidRDefault="00067DBC" w:rsidP="000F5311">
          <w:pPr>
            <w:pStyle w:val="Footer"/>
          </w:pPr>
        </w:p>
      </w:tc>
      <w:tc>
        <w:tcPr>
          <w:tcW w:w="1250" w:type="pct"/>
        </w:tcPr>
        <w:p w14:paraId="5A021F0A" w14:textId="77777777" w:rsidR="00067DBC" w:rsidRPr="00EF048B" w:rsidRDefault="00067DBC" w:rsidP="000F5311">
          <w:pPr>
            <w:pStyle w:val="Footer"/>
          </w:pPr>
        </w:p>
      </w:tc>
      <w:tc>
        <w:tcPr>
          <w:tcW w:w="1250" w:type="pct"/>
        </w:tcPr>
        <w:p w14:paraId="1E6DAC0F" w14:textId="77777777" w:rsidR="00067DBC" w:rsidRPr="00134ABC" w:rsidRDefault="00067DBC" w:rsidP="000F5311">
          <w:pPr>
            <w:pStyle w:val="Footer"/>
          </w:pPr>
          <w:r w:rsidRPr="00CB54CF">
            <w:t xml:space="preserve">| </w:t>
          </w:r>
          <w:r w:rsidRPr="00CB54CF">
            <w:fldChar w:fldCharType="begin"/>
          </w:r>
          <w:r w:rsidRPr="00CB54CF">
            <w:instrText xml:space="preserve"> PAGE   \* MERGEFORMAT </w:instrText>
          </w:r>
          <w:r w:rsidRPr="00CB54CF">
            <w:fldChar w:fldCharType="separate"/>
          </w:r>
          <w:r>
            <w:t>5</w:t>
          </w:r>
          <w:r w:rsidRPr="00CB54CF">
            <w:fldChar w:fldCharType="end"/>
          </w:r>
        </w:p>
      </w:tc>
    </w:tr>
  </w:tbl>
  <w:p w14:paraId="5AE6C622" w14:textId="77777777" w:rsidR="00067DBC" w:rsidRDefault="00067DBC" w:rsidP="005776D9">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0" w:type="auto"/>
      <w:tblLayout w:type="fixed"/>
      <w:tblLook w:val="04A0" w:firstRow="1" w:lastRow="0" w:firstColumn="1" w:lastColumn="0" w:noHBand="0" w:noVBand="1"/>
    </w:tblPr>
    <w:tblGrid>
      <w:gridCol w:w="5548"/>
      <w:gridCol w:w="5548"/>
    </w:tblGrid>
    <w:tr w:rsidR="00BD573A" w:rsidRPr="00EF048B" w14:paraId="1DB32043" w14:textId="77777777" w:rsidTr="00963607">
      <w:trPr>
        <w:cnfStyle w:val="100000000000" w:firstRow="1" w:lastRow="0" w:firstColumn="0" w:lastColumn="0" w:oddVBand="0" w:evenVBand="0" w:oddHBand="0" w:evenHBand="0" w:firstRowFirstColumn="0" w:firstRowLastColumn="0" w:lastRowFirstColumn="0" w:lastRowLastColumn="0"/>
      </w:trPr>
      <w:tc>
        <w:tcPr>
          <w:tcW w:w="5548" w:type="dxa"/>
        </w:tcPr>
        <w:p w14:paraId="25A198E0" w14:textId="77777777" w:rsidR="00BD573A" w:rsidRPr="00EF048B" w:rsidRDefault="00BD573A" w:rsidP="00BD573A">
          <w:pPr>
            <w:pStyle w:val="Footer"/>
            <w:jc w:val="left"/>
          </w:pPr>
          <w:r w:rsidRPr="00CB54CF">
            <w:t>Opinion Dynamics</w:t>
          </w:r>
        </w:p>
      </w:tc>
      <w:tc>
        <w:tcPr>
          <w:tcW w:w="5548" w:type="dxa"/>
        </w:tcPr>
        <w:p w14:paraId="43729461" w14:textId="77777777" w:rsidR="00BD573A" w:rsidRPr="00EF048B" w:rsidRDefault="00BD573A" w:rsidP="00BD573A">
          <w:pPr>
            <w:pStyle w:val="Footer"/>
          </w:pP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7BE967B4" w14:textId="77777777" w:rsidR="00E842FE" w:rsidRPr="00BD573A" w:rsidRDefault="00E842FE" w:rsidP="00BD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237D" w14:textId="77777777" w:rsidR="00527C32" w:rsidRDefault="00527C32">
      <w:pPr>
        <w:spacing w:after="0" w:line="240" w:lineRule="auto"/>
      </w:pPr>
      <w:r>
        <w:separator/>
      </w:r>
    </w:p>
  </w:footnote>
  <w:footnote w:type="continuationSeparator" w:id="0">
    <w:p w14:paraId="3F0E3ECE" w14:textId="77777777" w:rsidR="00527C32" w:rsidRDefault="00527C32">
      <w:pPr>
        <w:spacing w:after="0" w:line="240" w:lineRule="auto"/>
      </w:pPr>
      <w:r>
        <w:continuationSeparator/>
      </w:r>
    </w:p>
  </w:footnote>
  <w:footnote w:id="1">
    <w:p w14:paraId="34A933F6" w14:textId="02A94AC7" w:rsidR="00F5586C" w:rsidRPr="00A73774" w:rsidRDefault="00F5586C" w:rsidP="00F5586C">
      <w:pPr>
        <w:pStyle w:val="FootnoteText"/>
        <w:rPr>
          <w:szCs w:val="18"/>
        </w:rPr>
      </w:pPr>
      <w:r w:rsidRPr="00A73774">
        <w:rPr>
          <w:rStyle w:val="FootnoteReference"/>
          <w:szCs w:val="18"/>
        </w:rPr>
        <w:footnoteRef/>
      </w:r>
      <w:r w:rsidRPr="00A73774">
        <w:rPr>
          <w:szCs w:val="18"/>
        </w:rPr>
        <w:t xml:space="preserve"> Illinois Energy Efficiency Stakeholder Advisory Group. </w:t>
      </w:r>
      <w:r w:rsidRPr="00A73774">
        <w:rPr>
          <w:i/>
          <w:iCs/>
          <w:szCs w:val="18"/>
        </w:rPr>
        <w:t>Weighted Average Measure Life Report.</w:t>
      </w:r>
      <w:r w:rsidRPr="00A73774">
        <w:rPr>
          <w:szCs w:val="18"/>
        </w:rPr>
        <w:t xml:space="preserve"> 2018</w:t>
      </w:r>
      <w:r>
        <w:rPr>
          <w:szCs w:val="18"/>
        </w:rPr>
        <w:t>.</w:t>
      </w:r>
      <w:r w:rsidRPr="00A73774">
        <w:rPr>
          <w:szCs w:val="18"/>
        </w:rPr>
        <w:t xml:space="preserve"> </w:t>
      </w:r>
      <w:r>
        <w:rPr>
          <w:szCs w:val="18"/>
        </w:rPr>
        <w:t>Accessed at</w:t>
      </w:r>
      <w:r w:rsidRPr="00A73774">
        <w:rPr>
          <w:szCs w:val="18"/>
        </w:rPr>
        <w:t xml:space="preserve"> </w:t>
      </w:r>
      <w:hyperlink r:id="rId1" w:history="1">
        <w:r w:rsidRPr="00A73774">
          <w:rPr>
            <w:rStyle w:val="Hyperlink"/>
            <w:sz w:val="18"/>
            <w:szCs w:val="18"/>
          </w:rPr>
          <w:t>https://www.ilsag.info/wp-content/uploads/SAG_files/SAG_Reports/SAG_WAML_Report_Final_2-20-18.pdf</w:t>
        </w:r>
      </w:hyperlink>
      <w:r>
        <w:t>.</w:t>
      </w:r>
      <w:r w:rsidRPr="00A73774">
        <w:rPr>
          <w:szCs w:val="18"/>
        </w:rPr>
        <w:t xml:space="preserve"> </w:t>
      </w:r>
    </w:p>
  </w:footnote>
  <w:footnote w:id="2">
    <w:p w14:paraId="5A3B3656" w14:textId="77777777" w:rsidR="00F5586C" w:rsidRPr="00A73774" w:rsidRDefault="00F5586C" w:rsidP="00F5586C">
      <w:pPr>
        <w:pStyle w:val="FootnoteText"/>
        <w:rPr>
          <w:szCs w:val="18"/>
        </w:rPr>
      </w:pPr>
      <w:r w:rsidRPr="00A73774">
        <w:rPr>
          <w:rStyle w:val="FootnoteReference"/>
          <w:szCs w:val="18"/>
        </w:rPr>
        <w:footnoteRef/>
      </w:r>
      <w:r w:rsidRPr="00A73774">
        <w:rPr>
          <w:szCs w:val="18"/>
        </w:rPr>
        <w:t xml:space="preserve"> Ibid.</w:t>
      </w:r>
    </w:p>
  </w:footnote>
  <w:footnote w:id="3">
    <w:p w14:paraId="2F92E341" w14:textId="77777777" w:rsidR="005C27B9" w:rsidRDefault="005C27B9" w:rsidP="005C27B9">
      <w:pPr>
        <w:pStyle w:val="FootnoteText"/>
      </w:pPr>
      <w:r>
        <w:rPr>
          <w:rStyle w:val="FootnoteReference"/>
        </w:rPr>
        <w:footnoteRef/>
      </w:r>
      <w:r>
        <w:t xml:space="preserve"> </w:t>
      </w:r>
      <w:r w:rsidRPr="00E7018D">
        <w:t>In future years, the evaluation team will apply updated versions of these manuals to the evaluation of this Program as required by law, Illinois Commerce Commission orders, and changes to the manuals themselves.</w:t>
      </w:r>
    </w:p>
  </w:footnote>
  <w:footnote w:id="4">
    <w:p w14:paraId="100DA415" w14:textId="77777777" w:rsidR="00435227" w:rsidRPr="00435227" w:rsidRDefault="00435227" w:rsidP="00435227">
      <w:pPr>
        <w:pStyle w:val="FootnoteText"/>
        <w:rPr>
          <w:szCs w:val="18"/>
        </w:rPr>
      </w:pPr>
      <w:r w:rsidRPr="00435227">
        <w:rPr>
          <w:rStyle w:val="FootnoteReference"/>
          <w:szCs w:val="18"/>
        </w:rPr>
        <w:footnoteRef/>
      </w:r>
      <w:r w:rsidRPr="00435227">
        <w:rPr>
          <w:szCs w:val="18"/>
        </w:rPr>
        <w:t xml:space="preserve"> Due to changes made to lighting measures in IL-TRM V11.0, the IL-TRM V10.0 and IL-TRM V10.0 errata memo is the final reference source for key lighting assumptions necessary for remaining carryover from certain lighting measures sold prior to 2023.</w:t>
      </w:r>
    </w:p>
  </w:footnote>
  <w:footnote w:id="5">
    <w:p w14:paraId="765C8514" w14:textId="77777777" w:rsidR="00435227" w:rsidRDefault="00435227" w:rsidP="00435227">
      <w:pPr>
        <w:pStyle w:val="FootnoteText"/>
      </w:pPr>
      <w:r w:rsidRPr="00435227">
        <w:rPr>
          <w:rStyle w:val="FootnoteReference"/>
          <w:szCs w:val="18"/>
        </w:rPr>
        <w:footnoteRef/>
      </w:r>
      <w:r w:rsidRPr="00435227">
        <w:rPr>
          <w:szCs w:val="18"/>
        </w:rPr>
        <w:t xml:space="preserve"> Opinion Dynamics. </w:t>
      </w:r>
      <w:r w:rsidRPr="00435227">
        <w:rPr>
          <w:i/>
          <w:iCs/>
          <w:szCs w:val="18"/>
        </w:rPr>
        <w:t>Ameren Illinois Company Lighting Carryover Savings Claimable in 2024</w:t>
      </w:r>
      <w:r w:rsidRPr="00435227">
        <w:rPr>
          <w:szCs w:val="18"/>
        </w:rPr>
        <w:t xml:space="preserve">. Accessed at </w:t>
      </w:r>
      <w:hyperlink r:id="rId2" w:history="1">
        <w:r w:rsidRPr="00435227">
          <w:rPr>
            <w:rStyle w:val="Hyperlink"/>
            <w:sz w:val="18"/>
            <w:szCs w:val="18"/>
          </w:rPr>
          <w:t>https://www.ilsag.info/wp-content/uploads/AIC-2024-Lighting-Carryover-Savings-Memo-FINAL-2025-01-21.pdf</w:t>
        </w:r>
      </w:hyperlink>
      <w:r w:rsidRPr="00435227">
        <w:rPr>
          <w:szCs w:val="18"/>
        </w:rPr>
        <w:t xml:space="preserve">. </w:t>
      </w:r>
    </w:p>
  </w:footnote>
  <w:footnote w:id="6">
    <w:p w14:paraId="4E50C0A7" w14:textId="74FB90DC" w:rsidR="005C27B9" w:rsidRPr="00AC0D56" w:rsidRDefault="005C27B9" w:rsidP="005C27B9">
      <w:pPr>
        <w:pStyle w:val="FootnoteText"/>
        <w:rPr>
          <w:szCs w:val="18"/>
        </w:rPr>
      </w:pPr>
      <w:r w:rsidRPr="00AC0D56">
        <w:rPr>
          <w:rStyle w:val="FootnoteReference"/>
          <w:szCs w:val="18"/>
        </w:rPr>
        <w:footnoteRef/>
      </w:r>
      <w:r w:rsidRPr="00AC0D56">
        <w:rPr>
          <w:szCs w:val="18"/>
        </w:rPr>
        <w:t xml:space="preserve"> Opinion Dynamics. </w:t>
      </w:r>
      <w:r w:rsidRPr="00AC0D56">
        <w:rPr>
          <w:i/>
          <w:iCs/>
          <w:szCs w:val="18"/>
        </w:rPr>
        <w:t>Ameren Illinois Company Energy Efficiency Portfolio 2023 Net-to-Gross Ratios</w:t>
      </w:r>
      <w:r w:rsidRPr="00AC0D56">
        <w:rPr>
          <w:szCs w:val="18"/>
        </w:rPr>
        <w:t xml:space="preserve"> accessed at: </w:t>
      </w:r>
      <w:hyperlink r:id="rId3" w:history="1">
        <w:r w:rsidRPr="00AC0D56">
          <w:rPr>
            <w:rStyle w:val="Hyperlink"/>
            <w:sz w:val="18"/>
            <w:szCs w:val="18"/>
          </w:rPr>
          <w:t>https://www.ilsag.info/evaluator-ntg-recommendations-for-2023/</w:t>
        </w:r>
      </w:hyperlink>
    </w:p>
  </w:footnote>
  <w:footnote w:id="7">
    <w:p w14:paraId="30D45FF3" w14:textId="77777777" w:rsidR="00AC0D56" w:rsidRPr="00AC0D56" w:rsidRDefault="00AC0D56" w:rsidP="00AC0D56">
      <w:pPr>
        <w:pStyle w:val="FootnoteText"/>
        <w:rPr>
          <w:szCs w:val="18"/>
        </w:rPr>
      </w:pPr>
      <w:r w:rsidRPr="00AC0D56">
        <w:rPr>
          <w:rStyle w:val="FootnoteReference"/>
          <w:szCs w:val="18"/>
        </w:rPr>
        <w:footnoteRef/>
      </w:r>
      <w:r w:rsidRPr="00AC0D56">
        <w:rPr>
          <w:szCs w:val="18"/>
        </w:rPr>
        <w:t xml:space="preserve"> </w:t>
      </w:r>
      <w:r w:rsidRPr="00AC0D56">
        <w:rPr>
          <w:i/>
          <w:iCs/>
          <w:szCs w:val="18"/>
        </w:rPr>
        <w:t>Illinois Energy Efficiency Policy Manual V3.0,</w:t>
      </w:r>
      <w:r w:rsidRPr="00AC0D56">
        <w:rPr>
          <w:szCs w:val="18"/>
        </w:rPr>
        <w:t xml:space="preserve"> Section 7.4. Accessed at </w:t>
      </w:r>
      <w:hyperlink r:id="rId4" w:history="1">
        <w:r w:rsidRPr="00AC0D56">
          <w:rPr>
            <w:rStyle w:val="Hyperlink"/>
            <w:sz w:val="18"/>
            <w:szCs w:val="18"/>
          </w:rPr>
          <w:t>https://www.ilsag.info/wp-content/uploads/IL_EE_Policy_Manual_Version_3.0_Final_11-3-2023.pdf</w:t>
        </w:r>
      </w:hyperlink>
      <w:r w:rsidRPr="00AC0D56">
        <w:rPr>
          <w:szCs w:val="18"/>
        </w:rPr>
        <w:t>.</w:t>
      </w:r>
    </w:p>
  </w:footnote>
  <w:footnote w:id="8">
    <w:p w14:paraId="4F4BDFB8" w14:textId="4751C6EF" w:rsidR="00AC0D56" w:rsidRDefault="00AC0D56">
      <w:pPr>
        <w:pStyle w:val="FootnoteText"/>
      </w:pPr>
      <w:r>
        <w:rPr>
          <w:rStyle w:val="FootnoteReference"/>
        </w:rPr>
        <w:footnoteRef/>
      </w:r>
      <w:r>
        <w:t xml:space="preserve"> </w:t>
      </w:r>
      <w:r w:rsidRPr="00AC0D56">
        <w:t xml:space="preserve"> Areas identified as “income-eligible households” by Illinois Solar for All.</w:t>
      </w:r>
    </w:p>
  </w:footnote>
  <w:footnote w:id="9">
    <w:p w14:paraId="5E71B355" w14:textId="62674CA2" w:rsidR="00AC0D56" w:rsidRPr="00AC0D56" w:rsidRDefault="00AC0D56" w:rsidP="00AC0D56">
      <w:pPr>
        <w:pStyle w:val="FootnoteText"/>
        <w:rPr>
          <w:szCs w:val="18"/>
        </w:rPr>
      </w:pPr>
      <w:r w:rsidRPr="00AC0D56">
        <w:rPr>
          <w:rStyle w:val="FootnoteReference"/>
          <w:szCs w:val="18"/>
        </w:rPr>
        <w:footnoteRef/>
      </w:r>
      <w:r w:rsidRPr="00AC0D56">
        <w:rPr>
          <w:szCs w:val="18"/>
        </w:rPr>
        <w:t xml:space="preserve"> </w:t>
      </w:r>
      <w:r w:rsidRPr="00AC0D56">
        <w:rPr>
          <w:i/>
          <w:iCs/>
          <w:szCs w:val="18"/>
        </w:rPr>
        <w:t>Illinois Energy Efficiency Policy Manual V3.0,</w:t>
      </w:r>
      <w:r w:rsidRPr="00AC0D56">
        <w:rPr>
          <w:szCs w:val="18"/>
        </w:rPr>
        <w:t xml:space="preserve"> Section 7.</w:t>
      </w:r>
      <w:r>
        <w:rPr>
          <w:szCs w:val="18"/>
        </w:rPr>
        <w:t>3.</w:t>
      </w:r>
      <w:r w:rsidRPr="00AC0D56">
        <w:rPr>
          <w:szCs w:val="18"/>
        </w:rPr>
        <w:t xml:space="preserve"> Accessed at </w:t>
      </w:r>
      <w:hyperlink r:id="rId5" w:history="1">
        <w:r w:rsidRPr="00AC0D56">
          <w:rPr>
            <w:rStyle w:val="Hyperlink"/>
            <w:sz w:val="18"/>
            <w:szCs w:val="18"/>
          </w:rPr>
          <w:t>https://www.ilsag.info/wp-content/uploads/IL_EE_Policy_Manual_Version_3.0_Final_11-3-2023.pdf</w:t>
        </w:r>
      </w:hyperlink>
      <w:r w:rsidRPr="00AC0D56">
        <w:rPr>
          <w:szCs w:val="18"/>
        </w:rPr>
        <w:t>.</w:t>
      </w:r>
    </w:p>
  </w:footnote>
  <w:footnote w:id="10">
    <w:p w14:paraId="16CE6D20" w14:textId="77777777" w:rsidR="00AC0D56" w:rsidRDefault="00AC0D56" w:rsidP="00AC0D56">
      <w:pPr>
        <w:pStyle w:val="FootnoteText"/>
      </w:pPr>
      <w:r>
        <w:rPr>
          <w:rStyle w:val="FootnoteReference"/>
        </w:rPr>
        <w:footnoteRef/>
      </w:r>
      <w:r>
        <w:t xml:space="preserve"> Municipalities where at least fifty percent (50%) of the municipality is identified as income-eligible through Illinois Solar for All.</w:t>
      </w:r>
    </w:p>
  </w:footnote>
  <w:footnote w:id="11">
    <w:p w14:paraId="4AF9BDB6" w14:textId="77777777" w:rsidR="00AC0D56" w:rsidRDefault="00AC0D56" w:rsidP="00AC0D56">
      <w:pPr>
        <w:pStyle w:val="FootnoteText"/>
      </w:pPr>
      <w:r w:rsidRPr="00AC0D56">
        <w:rPr>
          <w:rStyle w:val="FootnoteReference"/>
          <w:szCs w:val="18"/>
        </w:rPr>
        <w:footnoteRef/>
      </w:r>
      <w:r w:rsidRPr="00AC0D56">
        <w:rPr>
          <w:szCs w:val="18"/>
        </w:rPr>
        <w:t xml:space="preserve"> Opinion Dynamics. </w:t>
      </w:r>
      <w:r w:rsidRPr="00AC0D56">
        <w:rPr>
          <w:i/>
          <w:iCs/>
          <w:szCs w:val="18"/>
        </w:rPr>
        <w:t>Overview of Disadvantaged Areas Net-to-Gross Tracking for Ameren Illinois</w:t>
      </w:r>
      <w:r w:rsidRPr="00AC0D56">
        <w:rPr>
          <w:szCs w:val="18"/>
        </w:rPr>
        <w:t xml:space="preserve">. Accessed at </w:t>
      </w:r>
      <w:hyperlink r:id="rId6" w:history="1">
        <w:r w:rsidRPr="00AC0D56">
          <w:rPr>
            <w:rStyle w:val="Hyperlink"/>
            <w:sz w:val="18"/>
            <w:szCs w:val="18"/>
          </w:rPr>
          <w:t>https://www.ilsag.info/wp-content/uploads/SAG-NTGR-for-Disadvantaged-Areas-Presentation_ODC_2024-07-17.pdf</w:t>
        </w:r>
      </w:hyperlink>
      <w:r w:rsidRPr="00AC0D56">
        <w:rPr>
          <w:szCs w:val="18"/>
        </w:rPr>
        <w:t xml:space="preserve">. </w:t>
      </w:r>
    </w:p>
  </w:footnote>
  <w:footnote w:id="12">
    <w:p w14:paraId="0AFBAB4D" w14:textId="77777777" w:rsidR="005C27B9" w:rsidRDefault="005C27B9" w:rsidP="005C27B9">
      <w:pPr>
        <w:pStyle w:val="FootnoteText"/>
      </w:pPr>
      <w:r>
        <w:rPr>
          <w:rStyle w:val="FootnoteReference"/>
        </w:rPr>
        <w:footnoteRef/>
      </w:r>
      <w:r>
        <w:t xml:space="preserve"> Ibid.</w:t>
      </w:r>
    </w:p>
  </w:footnote>
  <w:footnote w:id="13">
    <w:p w14:paraId="5A6E9511" w14:textId="77777777" w:rsidR="003213AC" w:rsidRDefault="003213AC" w:rsidP="003213AC">
      <w:pPr>
        <w:pStyle w:val="FootnoteText"/>
      </w:pPr>
      <w:r>
        <w:rPr>
          <w:rStyle w:val="FootnoteReference"/>
        </w:rPr>
        <w:footnoteRef/>
      </w:r>
      <w:r>
        <w:t xml:space="preserve"> For the Market Rate Single Family Initiative’s Midstream HVAC channel, we also estimated net savings associated with market effects resulting from channel influences on sales of non-incentivized energy-efficient equipment, which relied on supplementary distributor sales data and primary research with distributors and contractors.</w:t>
      </w:r>
    </w:p>
  </w:footnote>
  <w:footnote w:id="14">
    <w:p w14:paraId="44EA7B80" w14:textId="77777777" w:rsidR="00435227" w:rsidRDefault="00435227" w:rsidP="00435227">
      <w:pPr>
        <w:pStyle w:val="FootnoteText"/>
      </w:pPr>
      <w:r>
        <w:rPr>
          <w:rStyle w:val="FootnoteReference"/>
        </w:rPr>
        <w:footnoteRef/>
      </w:r>
      <w:r>
        <w:t xml:space="preserve"> Webster, Lia. </w:t>
      </w:r>
      <w:r>
        <w:rPr>
          <w:i/>
          <w:iCs/>
        </w:rPr>
        <w:t>IPMVP Application Guide on Non-Routine Events and Adjustments</w:t>
      </w:r>
      <w:r>
        <w:t>. Efficiency Valuation Organization (EVO). 2020.</w:t>
      </w:r>
    </w:p>
  </w:footnote>
  <w:footnote w:id="15">
    <w:p w14:paraId="6B51BB62" w14:textId="11B16CA2" w:rsidR="005C27B9" w:rsidRDefault="005C27B9" w:rsidP="005C27B9">
      <w:pPr>
        <w:pStyle w:val="FootnoteText"/>
      </w:pPr>
      <w:r w:rsidRPr="00C1224C">
        <w:rPr>
          <w:rStyle w:val="FootnoteReference"/>
          <w:szCs w:val="18"/>
        </w:rPr>
        <w:footnoteRef/>
      </w:r>
      <w:r w:rsidRPr="00C1224C">
        <w:rPr>
          <w:szCs w:val="18"/>
        </w:rPr>
        <w:t xml:space="preserve"> The process of computing savings from the residential NPSO adder is complex. See Section </w:t>
      </w:r>
      <w:r>
        <w:rPr>
          <w:color w:val="2B579A"/>
          <w:szCs w:val="18"/>
          <w:shd w:val="clear" w:color="auto" w:fill="E6E6E6"/>
        </w:rPr>
        <w:fldChar w:fldCharType="begin"/>
      </w:r>
      <w:r>
        <w:rPr>
          <w:szCs w:val="18"/>
        </w:rPr>
        <w:instrText xml:space="preserve"> REF _Ref161300420 \r \h </w:instrText>
      </w:r>
      <w:r>
        <w:rPr>
          <w:color w:val="2B579A"/>
          <w:szCs w:val="18"/>
          <w:shd w:val="clear" w:color="auto" w:fill="E6E6E6"/>
        </w:rPr>
      </w:r>
      <w:r>
        <w:rPr>
          <w:color w:val="2B579A"/>
          <w:szCs w:val="18"/>
          <w:shd w:val="clear" w:color="auto" w:fill="E6E6E6"/>
        </w:rPr>
        <w:fldChar w:fldCharType="separate"/>
      </w:r>
      <w:r w:rsidR="00C0033C">
        <w:rPr>
          <w:szCs w:val="18"/>
        </w:rPr>
        <w:t>2.3.1</w:t>
      </w:r>
      <w:r>
        <w:rPr>
          <w:color w:val="2B579A"/>
          <w:szCs w:val="18"/>
          <w:shd w:val="clear" w:color="auto" w:fill="E6E6E6"/>
        </w:rPr>
        <w:fldChar w:fldCharType="end"/>
      </w:r>
      <w:r>
        <w:rPr>
          <w:color w:val="2B579A"/>
          <w:szCs w:val="18"/>
          <w:shd w:val="clear" w:color="auto" w:fill="E6E6E6"/>
        </w:rPr>
        <w:t xml:space="preserve"> </w:t>
      </w:r>
      <w:r w:rsidRPr="00C1224C">
        <w:rPr>
          <w:szCs w:val="18"/>
        </w:rPr>
        <w:t>for more detail.</w:t>
      </w:r>
    </w:p>
  </w:footnote>
  <w:footnote w:id="16">
    <w:p w14:paraId="0C66C5FD" w14:textId="77777777" w:rsidR="000512F3" w:rsidRPr="00C1224C" w:rsidRDefault="000512F3" w:rsidP="000512F3">
      <w:pPr>
        <w:pStyle w:val="FootnoteText"/>
        <w:rPr>
          <w:szCs w:val="18"/>
        </w:rPr>
      </w:pPr>
      <w:r w:rsidRPr="00C1224C">
        <w:rPr>
          <w:rStyle w:val="FootnoteReference"/>
          <w:szCs w:val="18"/>
        </w:rPr>
        <w:footnoteRef/>
      </w:r>
      <w:r w:rsidRPr="00C1224C">
        <w:rPr>
          <w:szCs w:val="18"/>
        </w:rPr>
        <w:t xml:space="preserve"> 220 ILCS 5/8-103B(b-25).</w:t>
      </w:r>
    </w:p>
  </w:footnote>
  <w:footnote w:id="17">
    <w:p w14:paraId="379C06DD" w14:textId="77777777" w:rsidR="000512F3" w:rsidRPr="00C1224C" w:rsidRDefault="000512F3" w:rsidP="000512F3">
      <w:pPr>
        <w:pStyle w:val="FootnoteText"/>
        <w:rPr>
          <w:szCs w:val="18"/>
        </w:rPr>
      </w:pPr>
      <w:r w:rsidRPr="00C1224C">
        <w:rPr>
          <w:rStyle w:val="FootnoteReference"/>
          <w:szCs w:val="18"/>
        </w:rPr>
        <w:footnoteRef/>
      </w:r>
      <w:r w:rsidRPr="00C1224C">
        <w:rPr>
          <w:szCs w:val="18"/>
        </w:rPr>
        <w:t xml:space="preserve"> 220 ILCS 5/8-103B(b-27).</w:t>
      </w:r>
    </w:p>
  </w:footnote>
  <w:footnote w:id="18">
    <w:p w14:paraId="77C00CB8" w14:textId="77777777" w:rsidR="000512F3" w:rsidRDefault="000512F3" w:rsidP="000512F3">
      <w:pPr>
        <w:pStyle w:val="FootnoteText"/>
      </w:pPr>
      <w:r>
        <w:rPr>
          <w:rStyle w:val="FootnoteReference"/>
        </w:rPr>
        <w:footnoteRef/>
      </w:r>
      <w:r>
        <w:t xml:space="preserve"> The net difference between the decreased fossil fuel usage and the increased electric usage expressed in Btus.</w:t>
      </w:r>
    </w:p>
  </w:footnote>
  <w:footnote w:id="19">
    <w:p w14:paraId="4A9B1FEB" w14:textId="77777777" w:rsidR="00F97FEE" w:rsidRDefault="00F97FEE" w:rsidP="00F97FEE">
      <w:pPr>
        <w:pStyle w:val="FootnoteText"/>
      </w:pPr>
      <w:r>
        <w:rPr>
          <w:rStyle w:val="FootnoteReference"/>
        </w:rPr>
        <w:footnoteRef/>
      </w:r>
      <w:r>
        <w:t xml:space="preserve"> </w:t>
      </w:r>
      <w:r w:rsidRPr="00156A1B">
        <w:t>Illinois Energy Efficiency Stakeholder Advisory Group</w:t>
      </w:r>
      <w:r w:rsidRPr="005139E7">
        <w:rPr>
          <w:i/>
          <w:iCs/>
        </w:rPr>
        <w:t xml:space="preserve">. Illinois Energy Efficiency Policy Manual Version 3.0, </w:t>
      </w:r>
      <w:r w:rsidRPr="00D36CC1">
        <w:t>Section 12.3.</w:t>
      </w:r>
      <w:r w:rsidRPr="00156A1B">
        <w:t xml:space="preserve"> 20</w:t>
      </w:r>
      <w:r>
        <w:t xml:space="preserve">23. Accessed at </w:t>
      </w:r>
      <w:hyperlink r:id="rId7" w:history="1">
        <w:r w:rsidRPr="003F1F85">
          <w:rPr>
            <w:rStyle w:val="Hyperlink"/>
            <w:rFonts w:ascii="Franklin Gothic Book" w:hAnsi="Franklin Gothic Book"/>
            <w:noProof w:val="0"/>
            <w:sz w:val="18"/>
          </w:rPr>
          <w:t>https://www.ilsag.info/wp-content/uploads/IL_EE_Policy_Manual_Version_3.0_Final_11-3-2023.pdf</w:t>
        </w:r>
      </w:hyperlink>
      <w:r>
        <w:t>.</w:t>
      </w:r>
    </w:p>
  </w:footnote>
  <w:footnote w:id="20">
    <w:p w14:paraId="398E925E" w14:textId="77777777" w:rsidR="005C27B9" w:rsidRDefault="005C27B9" w:rsidP="005C27B9">
      <w:pPr>
        <w:pStyle w:val="FootnoteText"/>
      </w:pPr>
      <w:r>
        <w:rPr>
          <w:rStyle w:val="FootnoteReference"/>
        </w:rPr>
        <w:footnoteRef/>
      </w:r>
      <w:r>
        <w:t xml:space="preserve"> </w:t>
      </w:r>
      <w:r w:rsidRPr="00C913BF">
        <w:t xml:space="preserve">Illinois Energy Efficiency Policy Manual Version </w:t>
      </w:r>
      <w:r>
        <w:t>3.0</w:t>
      </w:r>
      <w:r w:rsidRPr="00C913BF">
        <w:t>, Section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E36B" w14:textId="77777777" w:rsidR="00527C32" w:rsidRDefault="00527C32" w:rsidP="00E249F6">
    <w:pPr>
      <w:tabs>
        <w:tab w:val="right" w:pos="11106"/>
      </w:tabs>
    </w:pPr>
    <w:r>
      <w:rPr>
        <w:noProof/>
      </w:rPr>
      <w:drawing>
        <wp:anchor distT="0" distB="0" distL="114300" distR="114300" simplePos="0" relativeHeight="251671552" behindDoc="0" locked="1" layoutInCell="1" allowOverlap="1" wp14:anchorId="02B2A73F" wp14:editId="1AC6E060">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1324412489" name="Picture 132441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43EC" w14:textId="77777777" w:rsidR="00527C32" w:rsidRDefault="00527C32">
    <w:r>
      <w:rPr>
        <w:noProof/>
      </w:rPr>
      <w:drawing>
        <wp:anchor distT="0" distB="0" distL="114300" distR="114300" simplePos="0" relativeHeight="251672576" behindDoc="0" locked="1" layoutInCell="1" allowOverlap="1" wp14:anchorId="5A9A771A" wp14:editId="72D80213">
          <wp:simplePos x="0" y="0"/>
          <wp:positionH relativeFrom="page">
            <wp:posOffset>360045</wp:posOffset>
          </wp:positionH>
          <wp:positionV relativeFrom="page">
            <wp:posOffset>252095</wp:posOffset>
          </wp:positionV>
          <wp:extent cx="7896225" cy="266700"/>
          <wp:effectExtent l="0" t="0" r="9525" b="0"/>
          <wp:wrapThrough wrapText="bothSides">
            <wp:wrapPolygon edited="0">
              <wp:start x="0" y="0"/>
              <wp:lineTo x="0" y="20057"/>
              <wp:lineTo x="21574" y="20057"/>
              <wp:lineTo x="21574" y="0"/>
              <wp:lineTo x="0" y="0"/>
            </wp:wrapPolygon>
          </wp:wrapThrough>
          <wp:docPr id="898582477" name="Picture 89858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A6FC" w14:textId="77777777" w:rsidR="00D46533" w:rsidRDefault="00D46533" w:rsidP="00AE2204">
    <w:r>
      <w:rPr>
        <w:noProof/>
      </w:rPr>
      <w:drawing>
        <wp:anchor distT="0" distB="0" distL="114300" distR="114300" simplePos="0" relativeHeight="251658752" behindDoc="0" locked="1" layoutInCell="1" allowOverlap="1" wp14:anchorId="4F975C63" wp14:editId="7CC027F0">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8325" w14:textId="248EC790" w:rsidR="00067DBC" w:rsidRDefault="00067DBC" w:rsidP="00AE22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5BAD" w14:textId="77777777" w:rsidR="00E842FE" w:rsidRDefault="00A53C8F">
    <w:r>
      <w:rPr>
        <w:noProof/>
      </w:rPr>
      <w:drawing>
        <wp:anchor distT="0" distB="0" distL="114300" distR="114300" simplePos="0" relativeHeight="251669504" behindDoc="0" locked="1" layoutInCell="1" allowOverlap="1" wp14:anchorId="72C92A8E" wp14:editId="2A7279E8">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1069901503" name="Picture 106990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1CB0" w14:textId="77777777" w:rsidR="00344C23" w:rsidRDefault="00344C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1B4498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6A0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4"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5" w15:restartNumberingAfterBreak="0">
    <w:nsid w:val="00000004"/>
    <w:multiLevelType w:val="hybridMultilevel"/>
    <w:tmpl w:val="1B8E5A38"/>
    <w:lvl w:ilvl="0" w:tplc="7AF6CC48">
      <w:start w:val="1"/>
      <w:numFmt w:val="decimal"/>
      <w:pStyle w:val="CaptionFigure"/>
      <w:suff w:val="space"/>
      <w:lvlText w:val="Figure %1."/>
      <w:lvlJc w:val="left"/>
      <w:pPr>
        <w:ind w:left="0" w:firstLine="0"/>
      </w:pPr>
      <w:rPr>
        <w:rFonts w:hint="default"/>
      </w:rPr>
    </w:lvl>
    <w:lvl w:ilvl="1" w:tplc="7BF24E5E" w:tentative="1">
      <w:start w:val="1"/>
      <w:numFmt w:val="lowerLetter"/>
      <w:lvlText w:val="%2."/>
      <w:lvlJc w:val="left"/>
      <w:pPr>
        <w:ind w:left="1440" w:hanging="360"/>
      </w:pPr>
    </w:lvl>
    <w:lvl w:ilvl="2" w:tplc="F168DD18" w:tentative="1">
      <w:start w:val="1"/>
      <w:numFmt w:val="lowerRoman"/>
      <w:lvlText w:val="%3."/>
      <w:lvlJc w:val="right"/>
      <w:pPr>
        <w:ind w:left="2160" w:hanging="180"/>
      </w:pPr>
    </w:lvl>
    <w:lvl w:ilvl="3" w:tplc="A60EEB6E" w:tentative="1">
      <w:start w:val="1"/>
      <w:numFmt w:val="decimal"/>
      <w:lvlText w:val="%4."/>
      <w:lvlJc w:val="left"/>
      <w:pPr>
        <w:ind w:left="2880" w:hanging="360"/>
      </w:pPr>
    </w:lvl>
    <w:lvl w:ilvl="4" w:tplc="A17489F8" w:tentative="1">
      <w:start w:val="1"/>
      <w:numFmt w:val="lowerLetter"/>
      <w:lvlText w:val="%5."/>
      <w:lvlJc w:val="left"/>
      <w:pPr>
        <w:ind w:left="3600" w:hanging="360"/>
      </w:pPr>
    </w:lvl>
    <w:lvl w:ilvl="5" w:tplc="600C179E" w:tentative="1">
      <w:start w:val="1"/>
      <w:numFmt w:val="lowerRoman"/>
      <w:lvlText w:val="%6."/>
      <w:lvlJc w:val="right"/>
      <w:pPr>
        <w:ind w:left="4320" w:hanging="180"/>
      </w:pPr>
    </w:lvl>
    <w:lvl w:ilvl="6" w:tplc="6E02CEE4" w:tentative="1">
      <w:start w:val="1"/>
      <w:numFmt w:val="decimal"/>
      <w:lvlText w:val="%7."/>
      <w:lvlJc w:val="left"/>
      <w:pPr>
        <w:ind w:left="5040" w:hanging="360"/>
      </w:pPr>
    </w:lvl>
    <w:lvl w:ilvl="7" w:tplc="BF0A646A" w:tentative="1">
      <w:start w:val="1"/>
      <w:numFmt w:val="lowerLetter"/>
      <w:lvlText w:val="%8."/>
      <w:lvlJc w:val="left"/>
      <w:pPr>
        <w:ind w:left="5760" w:hanging="360"/>
      </w:pPr>
    </w:lvl>
    <w:lvl w:ilvl="8" w:tplc="CC1CF72C" w:tentative="1">
      <w:start w:val="1"/>
      <w:numFmt w:val="lowerRoman"/>
      <w:lvlText w:val="%9."/>
      <w:lvlJc w:val="right"/>
      <w:pPr>
        <w:ind w:left="6480" w:hanging="180"/>
      </w:pPr>
    </w:lvl>
  </w:abstractNum>
  <w:abstractNum w:abstractNumId="6" w15:restartNumberingAfterBreak="0">
    <w:nsid w:val="00000005"/>
    <w:multiLevelType w:val="hybridMultilevel"/>
    <w:tmpl w:val="F0A220D0"/>
    <w:lvl w:ilvl="0" w:tplc="5B1CC83A">
      <w:start w:val="1"/>
      <w:numFmt w:val="decimal"/>
      <w:pStyle w:val="CaptionTable"/>
      <w:suff w:val="space"/>
      <w:lvlText w:val="Table %1."/>
      <w:lvlJc w:val="left"/>
      <w:pPr>
        <w:ind w:left="0" w:firstLine="0"/>
      </w:pPr>
      <w:rPr>
        <w:rFonts w:hint="default"/>
      </w:rPr>
    </w:lvl>
    <w:lvl w:ilvl="1" w:tplc="093EE0BA" w:tentative="1">
      <w:start w:val="1"/>
      <w:numFmt w:val="lowerLetter"/>
      <w:lvlText w:val="%2."/>
      <w:lvlJc w:val="left"/>
      <w:pPr>
        <w:ind w:left="1440" w:hanging="360"/>
      </w:pPr>
    </w:lvl>
    <w:lvl w:ilvl="2" w:tplc="D1D43996" w:tentative="1">
      <w:start w:val="1"/>
      <w:numFmt w:val="lowerRoman"/>
      <w:lvlText w:val="%3."/>
      <w:lvlJc w:val="right"/>
      <w:pPr>
        <w:ind w:left="2160" w:hanging="180"/>
      </w:pPr>
    </w:lvl>
    <w:lvl w:ilvl="3" w:tplc="90EEA078" w:tentative="1">
      <w:start w:val="1"/>
      <w:numFmt w:val="decimal"/>
      <w:lvlText w:val="%4."/>
      <w:lvlJc w:val="left"/>
      <w:pPr>
        <w:ind w:left="2880" w:hanging="360"/>
      </w:pPr>
    </w:lvl>
    <w:lvl w:ilvl="4" w:tplc="A7F4AC76" w:tentative="1">
      <w:start w:val="1"/>
      <w:numFmt w:val="lowerLetter"/>
      <w:lvlText w:val="%5."/>
      <w:lvlJc w:val="left"/>
      <w:pPr>
        <w:ind w:left="3600" w:hanging="360"/>
      </w:pPr>
    </w:lvl>
    <w:lvl w:ilvl="5" w:tplc="D066842C" w:tentative="1">
      <w:start w:val="1"/>
      <w:numFmt w:val="lowerRoman"/>
      <w:lvlText w:val="%6."/>
      <w:lvlJc w:val="right"/>
      <w:pPr>
        <w:ind w:left="4320" w:hanging="180"/>
      </w:pPr>
    </w:lvl>
    <w:lvl w:ilvl="6" w:tplc="FA6A41E6" w:tentative="1">
      <w:start w:val="1"/>
      <w:numFmt w:val="decimal"/>
      <w:lvlText w:val="%7."/>
      <w:lvlJc w:val="left"/>
      <w:pPr>
        <w:ind w:left="5040" w:hanging="360"/>
      </w:pPr>
    </w:lvl>
    <w:lvl w:ilvl="7" w:tplc="78885896" w:tentative="1">
      <w:start w:val="1"/>
      <w:numFmt w:val="lowerLetter"/>
      <w:lvlText w:val="%8."/>
      <w:lvlJc w:val="left"/>
      <w:pPr>
        <w:ind w:left="5760" w:hanging="360"/>
      </w:pPr>
    </w:lvl>
    <w:lvl w:ilvl="8" w:tplc="DA024234" w:tentative="1">
      <w:start w:val="1"/>
      <w:numFmt w:val="lowerRoman"/>
      <w:lvlText w:val="%9."/>
      <w:lvlJc w:val="right"/>
      <w:pPr>
        <w:ind w:left="6480" w:hanging="180"/>
      </w:pPr>
    </w:lvl>
  </w:abstractNum>
  <w:abstractNum w:abstractNumId="7" w15:restartNumberingAfterBreak="0">
    <w:nsid w:val="00000006"/>
    <w:multiLevelType w:val="multilevel"/>
    <w:tmpl w:val="882C8734"/>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lvl>
    <w:lvl w:ilvl="2">
      <w:start w:val="1"/>
      <w:numFmt w:val="decimal"/>
      <w:pStyle w:val="Heading3"/>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1FA9E1" w:themeColor="accent3"/>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8"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9"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10"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11"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5" w15:restartNumberingAfterBreak="0">
    <w:nsid w:val="087A61FD"/>
    <w:multiLevelType w:val="multilevel"/>
    <w:tmpl w:val="C0CE1E54"/>
    <w:name w:val="Appendix Headings2"/>
    <w:numStyleLink w:val="Addendum"/>
  </w:abstractNum>
  <w:abstractNum w:abstractNumId="16" w15:restartNumberingAfterBreak="0">
    <w:nsid w:val="0DCB5EAB"/>
    <w:multiLevelType w:val="hybridMultilevel"/>
    <w:tmpl w:val="2F5EAB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65915ED"/>
    <w:multiLevelType w:val="hybridMultilevel"/>
    <w:tmpl w:val="75F80716"/>
    <w:styleLink w:val="NumberList"/>
    <w:lvl w:ilvl="0" w:tplc="9D903534">
      <w:start w:val="1"/>
      <w:numFmt w:val="bullet"/>
      <w:lvlText w:val=""/>
      <w:lvlJc w:val="left"/>
      <w:pPr>
        <w:ind w:left="720" w:hanging="360"/>
      </w:pPr>
      <w:rPr>
        <w:rFonts w:ascii="Wingdings" w:hAnsi="Wingdings" w:hint="default"/>
        <w:color w:val="053572"/>
        <w:sz w:val="22"/>
      </w:rPr>
    </w:lvl>
    <w:lvl w:ilvl="1" w:tplc="96F6FE3E">
      <w:start w:val="1"/>
      <w:numFmt w:val="bullet"/>
      <w:lvlText w:val=""/>
      <w:lvlJc w:val="left"/>
      <w:pPr>
        <w:ind w:left="1080" w:hanging="360"/>
      </w:pPr>
      <w:rPr>
        <w:rFonts w:ascii="Wingdings" w:hAnsi="Wingdings" w:hint="default"/>
        <w:color w:val="1295D8"/>
        <w:sz w:val="22"/>
      </w:rPr>
    </w:lvl>
    <w:lvl w:ilvl="2" w:tplc="55C27EBE">
      <w:start w:val="1"/>
      <w:numFmt w:val="bullet"/>
      <w:lvlRestart w:val="0"/>
      <w:lvlText w:val=""/>
      <w:lvlJc w:val="left"/>
      <w:pPr>
        <w:tabs>
          <w:tab w:val="num" w:pos="1080"/>
        </w:tabs>
        <w:ind w:left="1440" w:hanging="360"/>
      </w:pPr>
      <w:rPr>
        <w:rFonts w:ascii="Wingdings" w:hAnsi="Wingdings" w:hint="default"/>
        <w:color w:val="4D4D4F"/>
        <w:sz w:val="22"/>
      </w:rPr>
    </w:lvl>
    <w:lvl w:ilvl="3" w:tplc="CA6AD078">
      <w:start w:val="1"/>
      <w:numFmt w:val="bullet"/>
      <w:lvlText w:val=""/>
      <w:lvlJc w:val="left"/>
      <w:pPr>
        <w:ind w:left="2160" w:hanging="432"/>
      </w:pPr>
      <w:rPr>
        <w:rFonts w:ascii="Wingdings" w:hAnsi="Wingdings"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174621A6">
      <w:start w:val="1"/>
      <w:numFmt w:val="bullet"/>
      <w:lvlText w:val=""/>
      <w:lvlJc w:val="left"/>
      <w:pPr>
        <w:ind w:left="3600" w:hanging="360"/>
      </w:pPr>
      <w:rPr>
        <w:rFonts w:ascii="Wingdings" w:hAnsi="Wingdings" w:hint="default"/>
        <w:color w:val="64B3E8"/>
      </w:rPr>
    </w:lvl>
    <w:lvl w:ilvl="5" w:tplc="3A285852">
      <w:start w:val="1"/>
      <w:numFmt w:val="bullet"/>
      <w:lvlText w:val=""/>
      <w:lvlJc w:val="left"/>
      <w:pPr>
        <w:ind w:left="4320" w:hanging="360"/>
      </w:pPr>
      <w:rPr>
        <w:rFonts w:ascii="Wingdings" w:hAnsi="Wingdings" w:hint="default"/>
        <w:color w:val="696969"/>
      </w:rPr>
    </w:lvl>
    <w:lvl w:ilvl="6" w:tplc="BD2CCF60">
      <w:start w:val="1"/>
      <w:numFmt w:val="bullet"/>
      <w:lvlText w:val=""/>
      <w:lvlJc w:val="left"/>
      <w:pPr>
        <w:ind w:left="5040" w:hanging="360"/>
      </w:pPr>
      <w:rPr>
        <w:rFonts w:ascii="Wingdings" w:hAnsi="Wingdings" w:hint="default"/>
        <w:color w:val="172B54" w:themeColor="accent1"/>
      </w:rPr>
    </w:lvl>
    <w:lvl w:ilvl="7" w:tplc="0F207EA4">
      <w:start w:val="1"/>
      <w:numFmt w:val="bullet"/>
      <w:lvlText w:val=""/>
      <w:lvlJc w:val="left"/>
      <w:pPr>
        <w:ind w:left="5760" w:hanging="360"/>
      </w:pPr>
      <w:rPr>
        <w:rFonts w:ascii="Wingdings" w:hAnsi="Wingdings" w:hint="default"/>
        <w:color w:val="265EAC" w:themeColor="accent2"/>
      </w:rPr>
    </w:lvl>
    <w:lvl w:ilvl="8" w:tplc="BC8E41C4">
      <w:start w:val="1"/>
      <w:numFmt w:val="bullet"/>
      <w:lvlText w:val=""/>
      <w:lvlJc w:val="left"/>
      <w:pPr>
        <w:ind w:left="6480" w:hanging="360"/>
      </w:pPr>
      <w:rPr>
        <w:rFonts w:ascii="Wingdings" w:hAnsi="Wingdings" w:hint="default"/>
        <w:color w:val="1FA9E1" w:themeColor="accent3"/>
      </w:rPr>
    </w:lvl>
  </w:abstractNum>
  <w:abstractNum w:abstractNumId="18" w15:restartNumberingAfterBreak="0">
    <w:nsid w:val="22D918E1"/>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27302931"/>
    <w:multiLevelType w:val="hybridMultilevel"/>
    <w:tmpl w:val="A6BE4678"/>
    <w:lvl w:ilvl="0" w:tplc="81C84C90">
      <w:start w:val="1"/>
      <w:numFmt w:val="upperLetter"/>
      <w:pStyle w:val="AppendixOne"/>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D6C61"/>
    <w:multiLevelType w:val="hybridMultilevel"/>
    <w:tmpl w:val="57AA98B0"/>
    <w:lvl w:ilvl="0" w:tplc="FAFC4BC8">
      <w:start w:val="1"/>
      <w:numFmt w:val="bullet"/>
      <w:pStyle w:val="ListBullet"/>
      <w:lvlText w:val=""/>
      <w:lvlJc w:val="left"/>
      <w:pPr>
        <w:ind w:left="540" w:hanging="360"/>
      </w:pPr>
      <w:rPr>
        <w:rFonts w:ascii="Wingdings" w:hAnsi="Wingdings" w:hint="default"/>
        <w:color w:val="053572" w:themeColor="text2"/>
      </w:rPr>
    </w:lvl>
    <w:lvl w:ilvl="1" w:tplc="3CA2820E">
      <w:start w:val="1"/>
      <w:numFmt w:val="bullet"/>
      <w:pStyle w:val="ListBullet2"/>
      <w:lvlText w:val=""/>
      <w:lvlJc w:val="left"/>
      <w:pPr>
        <w:ind w:left="2670" w:hanging="360"/>
      </w:pPr>
      <w:rPr>
        <w:rFonts w:ascii="Wingdings" w:hAnsi="Wingdings" w:hint="default"/>
        <w:color w:val="1FA9E1" w:themeColor="accent3"/>
      </w:rPr>
    </w:lvl>
    <w:lvl w:ilvl="2" w:tplc="B24CA5AC">
      <w:start w:val="1"/>
      <w:numFmt w:val="bullet"/>
      <w:pStyle w:val="ListBullet3"/>
      <w:lvlText w:val=""/>
      <w:lvlJc w:val="left"/>
      <w:pPr>
        <w:ind w:left="3390" w:hanging="360"/>
      </w:pPr>
      <w:rPr>
        <w:rFonts w:ascii="Wingdings" w:hAnsi="Wingdings" w:hint="default"/>
        <w:color w:val="7E83C0" w:themeColor="accent4"/>
      </w:rPr>
    </w:lvl>
    <w:lvl w:ilvl="3" w:tplc="DA64E1E2" w:tentative="1">
      <w:start w:val="1"/>
      <w:numFmt w:val="bullet"/>
      <w:lvlText w:val=""/>
      <w:lvlJc w:val="left"/>
      <w:pPr>
        <w:ind w:left="4110" w:hanging="360"/>
      </w:pPr>
      <w:rPr>
        <w:rFonts w:ascii="Symbol" w:hAnsi="Symbol" w:hint="default"/>
      </w:rPr>
    </w:lvl>
    <w:lvl w:ilvl="4" w:tplc="1A5E05F0" w:tentative="1">
      <w:start w:val="1"/>
      <w:numFmt w:val="bullet"/>
      <w:lvlText w:val="o"/>
      <w:lvlJc w:val="left"/>
      <w:pPr>
        <w:ind w:left="4830" w:hanging="360"/>
      </w:pPr>
      <w:rPr>
        <w:rFonts w:ascii="Courier New" w:hAnsi="Courier New" w:cs="Courier New" w:hint="default"/>
      </w:rPr>
    </w:lvl>
    <w:lvl w:ilvl="5" w:tplc="28D0307C" w:tentative="1">
      <w:start w:val="1"/>
      <w:numFmt w:val="bullet"/>
      <w:lvlText w:val=""/>
      <w:lvlJc w:val="left"/>
      <w:pPr>
        <w:ind w:left="5550" w:hanging="360"/>
      </w:pPr>
      <w:rPr>
        <w:rFonts w:ascii="Wingdings" w:hAnsi="Wingdings" w:hint="default"/>
      </w:rPr>
    </w:lvl>
    <w:lvl w:ilvl="6" w:tplc="8BDC1F4A" w:tentative="1">
      <w:start w:val="1"/>
      <w:numFmt w:val="bullet"/>
      <w:lvlText w:val=""/>
      <w:lvlJc w:val="left"/>
      <w:pPr>
        <w:ind w:left="6270" w:hanging="360"/>
      </w:pPr>
      <w:rPr>
        <w:rFonts w:ascii="Symbol" w:hAnsi="Symbol" w:hint="default"/>
      </w:rPr>
    </w:lvl>
    <w:lvl w:ilvl="7" w:tplc="CC2EA80E" w:tentative="1">
      <w:start w:val="1"/>
      <w:numFmt w:val="bullet"/>
      <w:lvlText w:val="o"/>
      <w:lvlJc w:val="left"/>
      <w:pPr>
        <w:ind w:left="6990" w:hanging="360"/>
      </w:pPr>
      <w:rPr>
        <w:rFonts w:ascii="Courier New" w:hAnsi="Courier New" w:cs="Courier New" w:hint="default"/>
      </w:rPr>
    </w:lvl>
    <w:lvl w:ilvl="8" w:tplc="A58C68C4" w:tentative="1">
      <w:start w:val="1"/>
      <w:numFmt w:val="bullet"/>
      <w:lvlText w:val=""/>
      <w:lvlJc w:val="left"/>
      <w:pPr>
        <w:ind w:left="7710" w:hanging="360"/>
      </w:pPr>
      <w:rPr>
        <w:rFonts w:ascii="Wingdings" w:hAnsi="Wingdings" w:hint="default"/>
      </w:rPr>
    </w:lvl>
  </w:abstractNum>
  <w:abstractNum w:abstractNumId="21" w15:restartNumberingAfterBreak="0">
    <w:nsid w:val="520E2E78"/>
    <w:multiLevelType w:val="multilevel"/>
    <w:tmpl w:val="C0CE1E54"/>
    <w:styleLink w:val="Addendum"/>
    <w:lvl w:ilvl="0">
      <w:start w:val="1"/>
      <w:numFmt w:val="upperLetter"/>
      <w:lvlText w:val="Appendix %1. "/>
      <w:lvlJc w:val="left"/>
      <w:pPr>
        <w:ind w:left="2268" w:hanging="2268"/>
      </w:pPr>
      <w:rPr>
        <w:rFonts w:ascii="Rift Soft" w:hAnsi="Rift Sof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22"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887A7A"/>
    <w:multiLevelType w:val="hybridMultilevel"/>
    <w:tmpl w:val="F0A220D0"/>
    <w:lvl w:ilvl="0" w:tplc="34040792">
      <w:start w:val="1"/>
      <w:numFmt w:val="decimal"/>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B1067"/>
    <w:multiLevelType w:val="hybridMultilevel"/>
    <w:tmpl w:val="E1F64434"/>
    <w:lvl w:ilvl="0" w:tplc="B712B298">
      <w:start w:val="1"/>
      <w:numFmt w:val="decimal"/>
      <w:lvlText w:val="%1."/>
      <w:lvlJc w:val="left"/>
      <w:pPr>
        <w:ind w:left="720" w:hanging="360"/>
      </w:pPr>
      <w:rPr>
        <w:rFonts w:ascii="Franklin Gothic Medium" w:hAnsi="Franklin Gothic Medium" w:hint="default"/>
        <w:b w:val="0"/>
        <w:i w:val="0"/>
        <w:color w:val="4A4D56" w:themeColor="text1"/>
        <w:sz w:val="20"/>
        <w:u w:val="none" w:color="4A4D5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94B45"/>
    <w:multiLevelType w:val="hybridMultilevel"/>
    <w:tmpl w:val="BF26C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E5C8B"/>
    <w:multiLevelType w:val="multilevel"/>
    <w:tmpl w:val="6A22351C"/>
    <w:name w:val="Appendix Headings"/>
    <w:lvl w:ilvl="0">
      <w:start w:val="1"/>
      <w:numFmt w:val="upperLetter"/>
      <w:lvlText w:val="Appendix %1."/>
      <w:lvlJc w:val="left"/>
      <w:pPr>
        <w:ind w:left="360" w:hanging="360"/>
      </w:pPr>
      <w:rPr>
        <w:rFonts w:ascii="Rift Soft Medium" w:hAnsi="Rift Soft Medium" w:hint="default"/>
        <w:color w:val="053572" w:themeColor="text2"/>
        <w:sz w:val="44"/>
        <w:u w:color="FFFFFF" w:themeColor="background1"/>
      </w:rPr>
    </w:lvl>
    <w:lvl w:ilvl="1">
      <w:start w:val="1"/>
      <w:numFmt w:val="upperRoman"/>
      <w:lvlText w:val="Appendix %1-%2."/>
      <w:lvlJc w:val="left"/>
      <w:pPr>
        <w:ind w:left="2268" w:hanging="2268"/>
      </w:pPr>
    </w:lvl>
    <w:lvl w:ilvl="2">
      <w:start w:val="1"/>
      <w:numFmt w:val="upperRoman"/>
      <w:lvlText w:val="Appendix %1-%2.%3."/>
      <w:lvlJc w:val="left"/>
      <w:pPr>
        <w:ind w:left="2268" w:hanging="2268"/>
      </w:p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27" w15:restartNumberingAfterBreak="0">
    <w:nsid w:val="779C6EF2"/>
    <w:multiLevelType w:val="hybridMultilevel"/>
    <w:tmpl w:val="C5A497C4"/>
    <w:lvl w:ilvl="0" w:tplc="E6A26C46">
      <w:start w:val="1"/>
      <w:numFmt w:val="upperLetter"/>
      <w:pStyle w:val="Alpha"/>
      <w:lvlText w:val="Appendix %1."/>
      <w:lvlJc w:val="left"/>
      <w:pPr>
        <w:ind w:left="360" w:hanging="360"/>
      </w:pPr>
      <w:rPr>
        <w:rFonts w:ascii="Rift Soft Medium" w:hAnsi="Rift Soft Medium" w:hint="default"/>
        <w:color w:val="053572" w:themeColor="text2"/>
        <w:sz w:val="4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A30D1"/>
    <w:multiLevelType w:val="hybridMultilevel"/>
    <w:tmpl w:val="E9C6CFEA"/>
    <w:lvl w:ilvl="0" w:tplc="E5F6A476">
      <w:start w:val="1"/>
      <w:numFmt w:val="decimal"/>
      <w:lvlText w:val="%1."/>
      <w:lvlJc w:val="left"/>
      <w:pPr>
        <w:ind w:left="1020" w:hanging="360"/>
      </w:pPr>
    </w:lvl>
    <w:lvl w:ilvl="1" w:tplc="CC706BD2">
      <w:start w:val="1"/>
      <w:numFmt w:val="decimal"/>
      <w:lvlText w:val="%2."/>
      <w:lvlJc w:val="left"/>
      <w:pPr>
        <w:ind w:left="1020" w:hanging="360"/>
      </w:pPr>
    </w:lvl>
    <w:lvl w:ilvl="2" w:tplc="C7629CDA">
      <w:start w:val="1"/>
      <w:numFmt w:val="decimal"/>
      <w:lvlText w:val="%3."/>
      <w:lvlJc w:val="left"/>
      <w:pPr>
        <w:ind w:left="1020" w:hanging="360"/>
      </w:pPr>
    </w:lvl>
    <w:lvl w:ilvl="3" w:tplc="F6245368">
      <w:start w:val="1"/>
      <w:numFmt w:val="decimal"/>
      <w:lvlText w:val="%4."/>
      <w:lvlJc w:val="left"/>
      <w:pPr>
        <w:ind w:left="1020" w:hanging="360"/>
      </w:pPr>
    </w:lvl>
    <w:lvl w:ilvl="4" w:tplc="2A94C994">
      <w:start w:val="1"/>
      <w:numFmt w:val="decimal"/>
      <w:lvlText w:val="%5."/>
      <w:lvlJc w:val="left"/>
      <w:pPr>
        <w:ind w:left="1020" w:hanging="360"/>
      </w:pPr>
    </w:lvl>
    <w:lvl w:ilvl="5" w:tplc="EA6CCAF8">
      <w:start w:val="1"/>
      <w:numFmt w:val="decimal"/>
      <w:lvlText w:val="%6."/>
      <w:lvlJc w:val="left"/>
      <w:pPr>
        <w:ind w:left="1020" w:hanging="360"/>
      </w:pPr>
    </w:lvl>
    <w:lvl w:ilvl="6" w:tplc="30C2D5E8">
      <w:start w:val="1"/>
      <w:numFmt w:val="decimal"/>
      <w:lvlText w:val="%7."/>
      <w:lvlJc w:val="left"/>
      <w:pPr>
        <w:ind w:left="1020" w:hanging="360"/>
      </w:pPr>
    </w:lvl>
    <w:lvl w:ilvl="7" w:tplc="DB4A26B6">
      <w:start w:val="1"/>
      <w:numFmt w:val="decimal"/>
      <w:lvlText w:val="%8."/>
      <w:lvlJc w:val="left"/>
      <w:pPr>
        <w:ind w:left="1020" w:hanging="360"/>
      </w:pPr>
    </w:lvl>
    <w:lvl w:ilvl="8" w:tplc="7EE8E93E">
      <w:start w:val="1"/>
      <w:numFmt w:val="decimal"/>
      <w:lvlText w:val="%9."/>
      <w:lvlJc w:val="left"/>
      <w:pPr>
        <w:ind w:left="1020" w:hanging="360"/>
      </w:pPr>
    </w:lvl>
  </w:abstractNum>
  <w:num w:numId="1" w16cid:durableId="1361206283">
    <w:abstractNumId w:val="2"/>
  </w:num>
  <w:num w:numId="2" w16cid:durableId="545600677">
    <w:abstractNumId w:val="3"/>
  </w:num>
  <w:num w:numId="3" w16cid:durableId="1299147011">
    <w:abstractNumId w:val="4"/>
  </w:num>
  <w:num w:numId="4" w16cid:durableId="1501771948">
    <w:abstractNumId w:val="5"/>
  </w:num>
  <w:num w:numId="5" w16cid:durableId="556820789">
    <w:abstractNumId w:val="6"/>
  </w:num>
  <w:num w:numId="6" w16cid:durableId="2095126736">
    <w:abstractNumId w:val="7"/>
  </w:num>
  <w:num w:numId="7" w16cid:durableId="1435440616">
    <w:abstractNumId w:val="8"/>
  </w:num>
  <w:num w:numId="8" w16cid:durableId="1899240670">
    <w:abstractNumId w:val="9"/>
  </w:num>
  <w:num w:numId="9" w16cid:durableId="1607806446">
    <w:abstractNumId w:val="10"/>
  </w:num>
  <w:num w:numId="10" w16cid:durableId="614562843">
    <w:abstractNumId w:val="11"/>
  </w:num>
  <w:num w:numId="11" w16cid:durableId="1790003988">
    <w:abstractNumId w:val="12"/>
  </w:num>
  <w:num w:numId="12" w16cid:durableId="699361803">
    <w:abstractNumId w:val="13"/>
  </w:num>
  <w:num w:numId="13" w16cid:durableId="1925264602">
    <w:abstractNumId w:val="14"/>
  </w:num>
  <w:num w:numId="14" w16cid:durableId="1804107596">
    <w:abstractNumId w:val="20"/>
  </w:num>
  <w:num w:numId="15" w16cid:durableId="1244608247">
    <w:abstractNumId w:val="22"/>
  </w:num>
  <w:num w:numId="16" w16cid:durableId="1371999592">
    <w:abstractNumId w:val="26"/>
  </w:num>
  <w:num w:numId="17" w16cid:durableId="1493108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7425416">
    <w:abstractNumId w:val="21"/>
  </w:num>
  <w:num w:numId="19" w16cid:durableId="677805838">
    <w:abstractNumId w:val="15"/>
  </w:num>
  <w:num w:numId="20" w16cid:durableId="808669919">
    <w:abstractNumId w:val="27"/>
  </w:num>
  <w:num w:numId="21" w16cid:durableId="2109305949">
    <w:abstractNumId w:val="24"/>
  </w:num>
  <w:num w:numId="22" w16cid:durableId="597952571">
    <w:abstractNumId w:val="17"/>
  </w:num>
  <w:num w:numId="23" w16cid:durableId="1172330909">
    <w:abstractNumId w:val="28"/>
  </w:num>
  <w:num w:numId="24" w16cid:durableId="666903589">
    <w:abstractNumId w:val="0"/>
  </w:num>
  <w:num w:numId="25" w16cid:durableId="2128547762">
    <w:abstractNumId w:val="25"/>
  </w:num>
  <w:num w:numId="26" w16cid:durableId="688609128">
    <w:abstractNumId w:val="1"/>
  </w:num>
  <w:num w:numId="27" w16cid:durableId="2056201128">
    <w:abstractNumId w:val="19"/>
  </w:num>
  <w:num w:numId="28" w16cid:durableId="2108497820">
    <w:abstractNumId w:val="18"/>
  </w:num>
  <w:num w:numId="29" w16cid:durableId="405151889">
    <w:abstractNumId w:val="23"/>
  </w:num>
  <w:num w:numId="30" w16cid:durableId="495345440">
    <w:abstractNumId w:val="16"/>
  </w:num>
  <w:num w:numId="31" w16cid:durableId="1046031591">
    <w:abstractNumId w:val="20"/>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TU3NDAxNzW1NDVX0lEKTi0uzszPAykwrwUAhoineCwAAAA="/>
  </w:docVars>
  <w:rsids>
    <w:rsidRoot w:val="00527C32"/>
    <w:rsid w:val="00002523"/>
    <w:rsid w:val="0000529D"/>
    <w:rsid w:val="00026697"/>
    <w:rsid w:val="000274B9"/>
    <w:rsid w:val="000317D8"/>
    <w:rsid w:val="000413E8"/>
    <w:rsid w:val="00041AA5"/>
    <w:rsid w:val="00043AA9"/>
    <w:rsid w:val="00046703"/>
    <w:rsid w:val="00050F40"/>
    <w:rsid w:val="000512F3"/>
    <w:rsid w:val="0006058A"/>
    <w:rsid w:val="00067DBC"/>
    <w:rsid w:val="00087787"/>
    <w:rsid w:val="000A0C88"/>
    <w:rsid w:val="000C2EF9"/>
    <w:rsid w:val="000E0419"/>
    <w:rsid w:val="000E0ECE"/>
    <w:rsid w:val="000F2C3E"/>
    <w:rsid w:val="000F5311"/>
    <w:rsid w:val="00105940"/>
    <w:rsid w:val="00134ABC"/>
    <w:rsid w:val="0013593F"/>
    <w:rsid w:val="00143669"/>
    <w:rsid w:val="00144B1E"/>
    <w:rsid w:val="00150B28"/>
    <w:rsid w:val="00153DBC"/>
    <w:rsid w:val="00155088"/>
    <w:rsid w:val="00155875"/>
    <w:rsid w:val="00157D54"/>
    <w:rsid w:val="0016138F"/>
    <w:rsid w:val="00171C84"/>
    <w:rsid w:val="00172B87"/>
    <w:rsid w:val="001754EE"/>
    <w:rsid w:val="00177788"/>
    <w:rsid w:val="00181175"/>
    <w:rsid w:val="00191389"/>
    <w:rsid w:val="001914EE"/>
    <w:rsid w:val="00193142"/>
    <w:rsid w:val="0019360C"/>
    <w:rsid w:val="00196D76"/>
    <w:rsid w:val="001A3F70"/>
    <w:rsid w:val="001B2FF4"/>
    <w:rsid w:val="001C0C9D"/>
    <w:rsid w:val="001C32D6"/>
    <w:rsid w:val="001C4ACA"/>
    <w:rsid w:val="001D5B3C"/>
    <w:rsid w:val="001E0E4B"/>
    <w:rsid w:val="001F1009"/>
    <w:rsid w:val="001F322C"/>
    <w:rsid w:val="001F4D82"/>
    <w:rsid w:val="002051EB"/>
    <w:rsid w:val="002114D1"/>
    <w:rsid w:val="002139E5"/>
    <w:rsid w:val="0021540D"/>
    <w:rsid w:val="002258A8"/>
    <w:rsid w:val="00241E2C"/>
    <w:rsid w:val="00267358"/>
    <w:rsid w:val="002708EE"/>
    <w:rsid w:val="002711CA"/>
    <w:rsid w:val="00272A4F"/>
    <w:rsid w:val="002749C2"/>
    <w:rsid w:val="00294548"/>
    <w:rsid w:val="002A35C7"/>
    <w:rsid w:val="002A42BB"/>
    <w:rsid w:val="002A7C18"/>
    <w:rsid w:val="002B08F1"/>
    <w:rsid w:val="002B3CAA"/>
    <w:rsid w:val="002B512D"/>
    <w:rsid w:val="002B5D61"/>
    <w:rsid w:val="002C1FF1"/>
    <w:rsid w:val="002C2979"/>
    <w:rsid w:val="002C2C1C"/>
    <w:rsid w:val="002D3FF2"/>
    <w:rsid w:val="002E20E6"/>
    <w:rsid w:val="002E2AB7"/>
    <w:rsid w:val="002F032E"/>
    <w:rsid w:val="00316B19"/>
    <w:rsid w:val="003213AC"/>
    <w:rsid w:val="00325863"/>
    <w:rsid w:val="003308B0"/>
    <w:rsid w:val="003315C4"/>
    <w:rsid w:val="00344C23"/>
    <w:rsid w:val="00344C36"/>
    <w:rsid w:val="00351734"/>
    <w:rsid w:val="00363CB8"/>
    <w:rsid w:val="00364EE9"/>
    <w:rsid w:val="00375C66"/>
    <w:rsid w:val="00376D43"/>
    <w:rsid w:val="00396BCB"/>
    <w:rsid w:val="003A084A"/>
    <w:rsid w:val="003A3404"/>
    <w:rsid w:val="003A6058"/>
    <w:rsid w:val="003B615C"/>
    <w:rsid w:val="003C4811"/>
    <w:rsid w:val="003D1C9A"/>
    <w:rsid w:val="003E5581"/>
    <w:rsid w:val="003F45B2"/>
    <w:rsid w:val="00400F10"/>
    <w:rsid w:val="004169F3"/>
    <w:rsid w:val="004233C9"/>
    <w:rsid w:val="00423A84"/>
    <w:rsid w:val="00431D61"/>
    <w:rsid w:val="00434F0D"/>
    <w:rsid w:val="00435227"/>
    <w:rsid w:val="0043589F"/>
    <w:rsid w:val="0044544A"/>
    <w:rsid w:val="00455E81"/>
    <w:rsid w:val="004573DA"/>
    <w:rsid w:val="00464243"/>
    <w:rsid w:val="0046689E"/>
    <w:rsid w:val="00473485"/>
    <w:rsid w:val="00480FC3"/>
    <w:rsid w:val="00484152"/>
    <w:rsid w:val="00490110"/>
    <w:rsid w:val="004915EF"/>
    <w:rsid w:val="00494799"/>
    <w:rsid w:val="004A1091"/>
    <w:rsid w:val="004A4F72"/>
    <w:rsid w:val="004B04E5"/>
    <w:rsid w:val="004B22D2"/>
    <w:rsid w:val="004C38FD"/>
    <w:rsid w:val="004E232C"/>
    <w:rsid w:val="004F7FA8"/>
    <w:rsid w:val="00503497"/>
    <w:rsid w:val="00503B5A"/>
    <w:rsid w:val="00505364"/>
    <w:rsid w:val="00513F8B"/>
    <w:rsid w:val="005210B0"/>
    <w:rsid w:val="00526CF2"/>
    <w:rsid w:val="00527C32"/>
    <w:rsid w:val="005315C4"/>
    <w:rsid w:val="00531B1A"/>
    <w:rsid w:val="005350F7"/>
    <w:rsid w:val="00540D33"/>
    <w:rsid w:val="0054466C"/>
    <w:rsid w:val="00554CC9"/>
    <w:rsid w:val="00556B05"/>
    <w:rsid w:val="00556D7B"/>
    <w:rsid w:val="00562306"/>
    <w:rsid w:val="005643BD"/>
    <w:rsid w:val="005676FF"/>
    <w:rsid w:val="005709EF"/>
    <w:rsid w:val="00572CBA"/>
    <w:rsid w:val="00576403"/>
    <w:rsid w:val="005776D9"/>
    <w:rsid w:val="005877F6"/>
    <w:rsid w:val="005A28F5"/>
    <w:rsid w:val="005C27B9"/>
    <w:rsid w:val="005C754B"/>
    <w:rsid w:val="005E423D"/>
    <w:rsid w:val="005E76F9"/>
    <w:rsid w:val="005F6832"/>
    <w:rsid w:val="006069C4"/>
    <w:rsid w:val="00614FF7"/>
    <w:rsid w:val="006306B7"/>
    <w:rsid w:val="0063566D"/>
    <w:rsid w:val="0063604E"/>
    <w:rsid w:val="00641AF9"/>
    <w:rsid w:val="00645611"/>
    <w:rsid w:val="00652535"/>
    <w:rsid w:val="00657D8A"/>
    <w:rsid w:val="00660CEF"/>
    <w:rsid w:val="0067044D"/>
    <w:rsid w:val="0068154D"/>
    <w:rsid w:val="00684AA9"/>
    <w:rsid w:val="006A0AC3"/>
    <w:rsid w:val="006A2679"/>
    <w:rsid w:val="006A7E31"/>
    <w:rsid w:val="006B2076"/>
    <w:rsid w:val="006B2FA7"/>
    <w:rsid w:val="006B3567"/>
    <w:rsid w:val="006D731A"/>
    <w:rsid w:val="006E68B0"/>
    <w:rsid w:val="00725A3A"/>
    <w:rsid w:val="00732AD4"/>
    <w:rsid w:val="00746722"/>
    <w:rsid w:val="007535FC"/>
    <w:rsid w:val="00767E6C"/>
    <w:rsid w:val="00770205"/>
    <w:rsid w:val="00772144"/>
    <w:rsid w:val="00786A5A"/>
    <w:rsid w:val="00792DC7"/>
    <w:rsid w:val="00794A23"/>
    <w:rsid w:val="007A33CA"/>
    <w:rsid w:val="007B6DF3"/>
    <w:rsid w:val="007C5AA1"/>
    <w:rsid w:val="007E4CD6"/>
    <w:rsid w:val="007E54AE"/>
    <w:rsid w:val="00800BCD"/>
    <w:rsid w:val="0080139E"/>
    <w:rsid w:val="0080549D"/>
    <w:rsid w:val="00806037"/>
    <w:rsid w:val="00815F70"/>
    <w:rsid w:val="00862AE1"/>
    <w:rsid w:val="00862AF0"/>
    <w:rsid w:val="00883750"/>
    <w:rsid w:val="00885135"/>
    <w:rsid w:val="008A64AD"/>
    <w:rsid w:val="008B2F0D"/>
    <w:rsid w:val="008B776D"/>
    <w:rsid w:val="008D37DE"/>
    <w:rsid w:val="008E12F6"/>
    <w:rsid w:val="008E3838"/>
    <w:rsid w:val="008F0909"/>
    <w:rsid w:val="00904EE9"/>
    <w:rsid w:val="009105B7"/>
    <w:rsid w:val="009236A2"/>
    <w:rsid w:val="00954350"/>
    <w:rsid w:val="00962988"/>
    <w:rsid w:val="009753EA"/>
    <w:rsid w:val="009803B5"/>
    <w:rsid w:val="00980F9B"/>
    <w:rsid w:val="00985305"/>
    <w:rsid w:val="00985BB4"/>
    <w:rsid w:val="009933E0"/>
    <w:rsid w:val="00994030"/>
    <w:rsid w:val="009A24AC"/>
    <w:rsid w:val="009E5482"/>
    <w:rsid w:val="009E5DB3"/>
    <w:rsid w:val="009F4BC0"/>
    <w:rsid w:val="00A1487D"/>
    <w:rsid w:val="00A14F20"/>
    <w:rsid w:val="00A15B19"/>
    <w:rsid w:val="00A23C10"/>
    <w:rsid w:val="00A33424"/>
    <w:rsid w:val="00A406D2"/>
    <w:rsid w:val="00A4257C"/>
    <w:rsid w:val="00A46573"/>
    <w:rsid w:val="00A46D2C"/>
    <w:rsid w:val="00A53C8F"/>
    <w:rsid w:val="00A5705E"/>
    <w:rsid w:val="00A63589"/>
    <w:rsid w:val="00A7034E"/>
    <w:rsid w:val="00A80BAE"/>
    <w:rsid w:val="00A83BC4"/>
    <w:rsid w:val="00A84BC1"/>
    <w:rsid w:val="00A85B8D"/>
    <w:rsid w:val="00A95C32"/>
    <w:rsid w:val="00A96735"/>
    <w:rsid w:val="00AA0F6E"/>
    <w:rsid w:val="00AA5DA7"/>
    <w:rsid w:val="00AB5038"/>
    <w:rsid w:val="00AB6E58"/>
    <w:rsid w:val="00AB79BD"/>
    <w:rsid w:val="00AB7C6D"/>
    <w:rsid w:val="00AC0D56"/>
    <w:rsid w:val="00AC29AB"/>
    <w:rsid w:val="00AC3664"/>
    <w:rsid w:val="00AE0A72"/>
    <w:rsid w:val="00AE120B"/>
    <w:rsid w:val="00AE2204"/>
    <w:rsid w:val="00AF718D"/>
    <w:rsid w:val="00B010C4"/>
    <w:rsid w:val="00B02B47"/>
    <w:rsid w:val="00B42FC3"/>
    <w:rsid w:val="00B45EFD"/>
    <w:rsid w:val="00B51AF9"/>
    <w:rsid w:val="00B54CD6"/>
    <w:rsid w:val="00B571BA"/>
    <w:rsid w:val="00B61EFC"/>
    <w:rsid w:val="00B65B28"/>
    <w:rsid w:val="00B71E6A"/>
    <w:rsid w:val="00B803B6"/>
    <w:rsid w:val="00B85543"/>
    <w:rsid w:val="00B85AD9"/>
    <w:rsid w:val="00B87A6C"/>
    <w:rsid w:val="00B90C45"/>
    <w:rsid w:val="00B93F17"/>
    <w:rsid w:val="00BA3F6A"/>
    <w:rsid w:val="00BA6418"/>
    <w:rsid w:val="00BC6E39"/>
    <w:rsid w:val="00BD573A"/>
    <w:rsid w:val="00BD7998"/>
    <w:rsid w:val="00BE0286"/>
    <w:rsid w:val="00BE0CCC"/>
    <w:rsid w:val="00BE5299"/>
    <w:rsid w:val="00BF4B9E"/>
    <w:rsid w:val="00C0033C"/>
    <w:rsid w:val="00C07C0D"/>
    <w:rsid w:val="00C2344D"/>
    <w:rsid w:val="00C2664B"/>
    <w:rsid w:val="00C2694D"/>
    <w:rsid w:val="00C44477"/>
    <w:rsid w:val="00C46EE4"/>
    <w:rsid w:val="00C5313F"/>
    <w:rsid w:val="00C54B21"/>
    <w:rsid w:val="00C60549"/>
    <w:rsid w:val="00C6211D"/>
    <w:rsid w:val="00C677C7"/>
    <w:rsid w:val="00C8284A"/>
    <w:rsid w:val="00C84A2D"/>
    <w:rsid w:val="00CB0033"/>
    <w:rsid w:val="00CB54CF"/>
    <w:rsid w:val="00CB73B5"/>
    <w:rsid w:val="00CC265E"/>
    <w:rsid w:val="00CC39E0"/>
    <w:rsid w:val="00CD79DD"/>
    <w:rsid w:val="00CF056F"/>
    <w:rsid w:val="00D0063A"/>
    <w:rsid w:val="00D075CA"/>
    <w:rsid w:val="00D211CD"/>
    <w:rsid w:val="00D23D91"/>
    <w:rsid w:val="00D27354"/>
    <w:rsid w:val="00D366FC"/>
    <w:rsid w:val="00D4188F"/>
    <w:rsid w:val="00D4245B"/>
    <w:rsid w:val="00D441D6"/>
    <w:rsid w:val="00D456E9"/>
    <w:rsid w:val="00D4579E"/>
    <w:rsid w:val="00D46027"/>
    <w:rsid w:val="00D46533"/>
    <w:rsid w:val="00D510A9"/>
    <w:rsid w:val="00D546DC"/>
    <w:rsid w:val="00D63984"/>
    <w:rsid w:val="00D85F48"/>
    <w:rsid w:val="00DB79E2"/>
    <w:rsid w:val="00DC0F99"/>
    <w:rsid w:val="00DD2F88"/>
    <w:rsid w:val="00DF40C9"/>
    <w:rsid w:val="00E04BF6"/>
    <w:rsid w:val="00E21C1F"/>
    <w:rsid w:val="00E23893"/>
    <w:rsid w:val="00E24A9D"/>
    <w:rsid w:val="00E25A4D"/>
    <w:rsid w:val="00E358B7"/>
    <w:rsid w:val="00E371F8"/>
    <w:rsid w:val="00E37377"/>
    <w:rsid w:val="00E51FB2"/>
    <w:rsid w:val="00E53385"/>
    <w:rsid w:val="00E5571C"/>
    <w:rsid w:val="00E601DE"/>
    <w:rsid w:val="00E6039A"/>
    <w:rsid w:val="00E65671"/>
    <w:rsid w:val="00E7019E"/>
    <w:rsid w:val="00E842FE"/>
    <w:rsid w:val="00E915B8"/>
    <w:rsid w:val="00E9259E"/>
    <w:rsid w:val="00E96C20"/>
    <w:rsid w:val="00EA21DB"/>
    <w:rsid w:val="00EB2070"/>
    <w:rsid w:val="00EB4CF4"/>
    <w:rsid w:val="00EB795D"/>
    <w:rsid w:val="00ED5498"/>
    <w:rsid w:val="00EE0DA0"/>
    <w:rsid w:val="00EF048B"/>
    <w:rsid w:val="00F12E47"/>
    <w:rsid w:val="00F23723"/>
    <w:rsid w:val="00F41B77"/>
    <w:rsid w:val="00F51639"/>
    <w:rsid w:val="00F5586C"/>
    <w:rsid w:val="00F57E07"/>
    <w:rsid w:val="00F622D7"/>
    <w:rsid w:val="00F62698"/>
    <w:rsid w:val="00F656F9"/>
    <w:rsid w:val="00F663ED"/>
    <w:rsid w:val="00F724A9"/>
    <w:rsid w:val="00F7299B"/>
    <w:rsid w:val="00F8548D"/>
    <w:rsid w:val="00F93A68"/>
    <w:rsid w:val="00F97FEE"/>
    <w:rsid w:val="00FA39DF"/>
    <w:rsid w:val="00FB51D3"/>
    <w:rsid w:val="00FD4291"/>
    <w:rsid w:val="00FD42FA"/>
    <w:rsid w:val="00FE3500"/>
    <w:rsid w:val="00FF3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76033"/>
  <w15:chartTrackingRefBased/>
  <w15:docId w15:val="{FB20BF6F-259B-4B51-A0C5-F0A5845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3D"/>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CB73B5"/>
    <w:pPr>
      <w:keepNext/>
      <w:keepLines/>
      <w:pageBreakBefore/>
      <w:numPr>
        <w:numId w:val="6"/>
      </w:numPr>
      <w:suppressAutoHyphens/>
      <w:spacing w:before="300" w:after="240" w:line="240" w:lineRule="auto"/>
      <w:outlineLvl w:val="0"/>
    </w:pPr>
    <w:rPr>
      <w:rFonts w:ascii="Rift Soft Medium" w:eastAsia="Times New Roman" w:hAnsi="Rift Soft Medium" w:cs="Times New Roman"/>
      <w:color w:val="053572"/>
      <w:sz w:val="44"/>
      <w:szCs w:val="24"/>
      <w:lang w:val="en-US"/>
    </w:rPr>
  </w:style>
  <w:style w:type="paragraph" w:styleId="Heading2">
    <w:name w:val="heading 2"/>
    <w:basedOn w:val="Heading1"/>
    <w:next w:val="Normal"/>
    <w:uiPriority w:val="9"/>
    <w:qFormat/>
    <w:rsid w:val="001754EE"/>
    <w:pPr>
      <w:pageBreakBefore w:val="0"/>
      <w:numPr>
        <w:ilvl w:val="1"/>
      </w:numPr>
      <w:outlineLvl w:val="1"/>
    </w:pPr>
    <w:rPr>
      <w:color w:val="416DCB" w:themeColor="accent1" w:themeTint="99"/>
      <w:sz w:val="40"/>
    </w:rPr>
  </w:style>
  <w:style w:type="paragraph" w:styleId="Heading3">
    <w:name w:val="heading 3"/>
    <w:basedOn w:val="Heading1"/>
    <w:next w:val="Normal"/>
    <w:uiPriority w:val="9"/>
    <w:qFormat/>
    <w:rsid w:val="008B776D"/>
    <w:pPr>
      <w:pageBreakBefore w:val="0"/>
      <w:numPr>
        <w:ilvl w:val="2"/>
      </w:numPr>
      <w:outlineLvl w:val="2"/>
    </w:pPr>
    <w:rPr>
      <w:color w:val="1FA9E1" w:themeColor="accent3"/>
      <w:sz w:val="36"/>
    </w:rPr>
  </w:style>
  <w:style w:type="paragraph" w:styleId="Heading4">
    <w:name w:val="heading 4"/>
    <w:basedOn w:val="Normal"/>
    <w:link w:val="Heading4Char"/>
    <w:uiPriority w:val="9"/>
    <w:qFormat/>
    <w:rsid w:val="00473485"/>
    <w:pPr>
      <w:spacing w:before="240" w:after="180"/>
      <w:outlineLvl w:val="3"/>
    </w:pPr>
    <w:rPr>
      <w:rFonts w:ascii="Rift Soft Medium" w:hAnsi="Rift Soft Medium" w:cs="Arial"/>
      <w:bCs/>
      <w:color w:val="053572" w:themeColor="text2"/>
      <w:sz w:val="32"/>
      <w:szCs w:val="24"/>
    </w:rPr>
  </w:style>
  <w:style w:type="paragraph" w:styleId="Heading5">
    <w:name w:val="heading 5"/>
    <w:basedOn w:val="Heading4"/>
    <w:link w:val="Heading5Char"/>
    <w:uiPriority w:val="9"/>
    <w:rsid w:val="00A7034E"/>
    <w:pPr>
      <w:spacing w:after="160"/>
      <w:outlineLvl w:val="4"/>
    </w:pPr>
    <w:rPr>
      <w:rFonts w:asciiTheme="majorHAnsi" w:hAnsiTheme="majorHAnsi"/>
      <w:iCs/>
      <w:color w:val="416DCB" w:themeColor="accent1" w:themeTint="99"/>
      <w:sz w:val="26"/>
      <w:szCs w:val="22"/>
    </w:rPr>
  </w:style>
  <w:style w:type="paragraph" w:styleId="Heading6">
    <w:name w:val="heading 6"/>
    <w:next w:val="Normal"/>
    <w:uiPriority w:val="9"/>
    <w:rsid w:val="00A7034E"/>
    <w:pPr>
      <w:spacing w:after="120"/>
      <w:outlineLvl w:val="5"/>
    </w:pPr>
    <w:rPr>
      <w:rFonts w:ascii="Franklin Gothic Medium" w:eastAsia="Times New Roman" w:hAnsi="Franklin Gothic Medium" w:cs="Arial"/>
      <w:bCs/>
      <w:iCs/>
      <w:color w:val="1FA9E1" w:themeColor="accent3"/>
      <w:sz w:val="24"/>
      <w:szCs w:val="21"/>
      <w:lang w:val="en-US"/>
    </w:rPr>
  </w:style>
  <w:style w:type="paragraph" w:styleId="Heading7">
    <w:name w:val="heading 7"/>
    <w:aliases w:val="Appendix Alpha,Appendix Level 1"/>
    <w:basedOn w:val="Heading6"/>
    <w:next w:val="Normal"/>
    <w:uiPriority w:val="2"/>
    <w:qFormat/>
    <w:rsid w:val="00E37377"/>
    <w:pPr>
      <w:pageBreakBefore/>
      <w:spacing w:line="240" w:lineRule="auto"/>
      <w:outlineLvl w:val="6"/>
    </w:pPr>
    <w:rPr>
      <w:rFonts w:asciiTheme="majorHAnsi" w:hAnsiTheme="majorHAnsi"/>
      <w:color w:val="78CBED" w:themeColor="accent3" w:themeTint="99"/>
      <w:sz w:val="22"/>
      <w:szCs w:val="36"/>
    </w:rPr>
  </w:style>
  <w:style w:type="paragraph" w:styleId="Heading8">
    <w:name w:val="heading 8"/>
    <w:aliases w:val="Appendix Level 2"/>
    <w:basedOn w:val="Heading7"/>
    <w:next w:val="Normal"/>
    <w:uiPriority w:val="2"/>
    <w:qFormat/>
    <w:rsid w:val="00E37377"/>
    <w:pPr>
      <w:pageBreakBefore w:val="0"/>
      <w:outlineLvl w:val="7"/>
    </w:pPr>
    <w:rPr>
      <w:color w:val="4A4D56" w:themeColor="text1"/>
    </w:rPr>
  </w:style>
  <w:style w:type="paragraph" w:styleId="Heading9">
    <w:name w:val="heading 9"/>
    <w:aliases w:val="Appendix Level 3"/>
    <w:basedOn w:val="Heading8"/>
    <w:next w:val="Normal"/>
    <w:uiPriority w:val="2"/>
    <w:qFormat/>
    <w:rsid w:val="00E37377"/>
    <w:pPr>
      <w:numPr>
        <w:ilvl w:val="2"/>
      </w:numPr>
      <w:outlineLvl w:val="8"/>
    </w:pPr>
    <w:rPr>
      <w:rFonts w:ascii="Franklin Gothic Book" w:hAnsi="Franklin Gothic Book"/>
      <w:color w:val="053572"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Right"/>
    <w:basedOn w:val="Normal"/>
    <w:next w:val="Normal"/>
    <w:link w:val="FooterChar"/>
    <w:uiPriority w:val="69"/>
    <w:rsid w:val="00732AD4"/>
    <w:pPr>
      <w:tabs>
        <w:tab w:val="right" w:pos="4320"/>
        <w:tab w:val="right" w:pos="9360"/>
      </w:tabs>
      <w:spacing w:after="0"/>
      <w:jc w:val="right"/>
    </w:pPr>
    <w:rPr>
      <w:noProof/>
      <w:color w:val="A6A6A6" w:themeColor="background1" w:themeShade="A6"/>
      <w:sz w:val="20"/>
      <w:szCs w:val="20"/>
    </w:rPr>
  </w:style>
  <w:style w:type="character" w:customStyle="1" w:styleId="FooterChar">
    <w:name w:val="Footer Char"/>
    <w:aliases w:val="Footer Right Char"/>
    <w:basedOn w:val="DefaultParagraphFont"/>
    <w:link w:val="Footer"/>
    <w:uiPriority w:val="69"/>
    <w:rsid w:val="00732AD4"/>
    <w:rPr>
      <w:rFonts w:ascii="Franklin Gothic Book" w:eastAsia="Times New Roman" w:hAnsi="Franklin Gothic Book" w:cs="Times New Roman"/>
      <w:noProof/>
      <w:color w:val="A6A6A6" w:themeColor="background1" w:themeShade="A6"/>
      <w:sz w:val="20"/>
      <w:szCs w:val="20"/>
      <w:lang w:val="en-US"/>
    </w:rPr>
  </w:style>
  <w:style w:type="paragraph" w:styleId="TOAHeading">
    <w:name w:val="toa heading"/>
    <w:basedOn w:val="TableofFigures"/>
    <w:next w:val="Normal"/>
    <w:uiPriority w:val="99"/>
    <w:unhideWhenUsed/>
    <w:rsid w:val="00C677C7"/>
    <w:rPr>
      <w:rFonts w:ascii="Rift Soft" w:hAnsi="Rift Soft"/>
      <w:color w:val="053572"/>
      <w:sz w:val="48"/>
      <w:szCs w:val="48"/>
    </w:rPr>
  </w:style>
  <w:style w:type="character" w:styleId="Strong">
    <w:name w:val="Strong"/>
    <w:aliases w:val="Resume Style 1,Bold CTRL+B"/>
    <w:uiPriority w:val="22"/>
    <w:qFormat/>
    <w:rsid w:val="00473485"/>
    <w:rPr>
      <w:rFonts w:ascii="Franklin Gothic Medium" w:hAnsi="Franklin Gothic Medium"/>
      <w:color w:val="053572" w:themeColor="text2"/>
      <w:sz w:val="24"/>
    </w:rPr>
  </w:style>
  <w:style w:type="paragraph" w:styleId="BalloonText">
    <w:name w:val="Balloon Text"/>
    <w:basedOn w:val="Normal"/>
    <w:semiHidden/>
    <w:rsid w:val="00B51ADD"/>
    <w:rPr>
      <w:rFonts w:ascii="Tahoma" w:hAnsi="Tahoma" w:cs="Tahoma"/>
      <w:sz w:val="16"/>
      <w:szCs w:val="16"/>
    </w:rPr>
  </w:style>
  <w:style w:type="paragraph" w:styleId="BodyText">
    <w:name w:val="Body Text"/>
    <w:aliases w:val="bt,body text,Body Text Char Char Char Char Char Char Char Char Char Char Char Char Char Char Char,Body Text1 Char Char Char Char,Body Text Char Char1 Char Char Char Char Char Char,Body Text Char Char,bt Char,Body Text Char1 Char,Memo Body Text"/>
    <w:basedOn w:val="Normal"/>
    <w:link w:val="BodyTextChar"/>
    <w:rsid w:val="001F4D82"/>
  </w:style>
  <w:style w:type="paragraph" w:customStyle="1" w:styleId="Bullet1">
    <w:name w:val="Bullet 1"/>
    <w:basedOn w:val="Normal"/>
    <w:next w:val="Normal"/>
    <w:uiPriority w:val="99"/>
    <w:semiHidden/>
    <w:qFormat/>
    <w:rsid w:val="00F54AE8"/>
    <w:pPr>
      <w:numPr>
        <w:numId w:val="1"/>
      </w:numPr>
      <w:tabs>
        <w:tab w:val="num" w:pos="360"/>
      </w:tabs>
      <w:spacing w:after="120"/>
      <w:ind w:left="0" w:firstLine="0"/>
    </w:pPr>
  </w:style>
  <w:style w:type="paragraph" w:customStyle="1" w:styleId="Bullet2">
    <w:name w:val="Bullet 2"/>
    <w:basedOn w:val="Normal"/>
    <w:next w:val="Normal"/>
    <w:uiPriority w:val="99"/>
    <w:semiHidden/>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99"/>
    <w:semiHidden/>
    <w:qFormat/>
    <w:rsid w:val="00F54AE8"/>
    <w:pPr>
      <w:numPr>
        <w:ilvl w:val="2"/>
        <w:numId w:val="3"/>
      </w:numPr>
      <w:spacing w:after="120"/>
    </w:pPr>
  </w:style>
  <w:style w:type="paragraph" w:styleId="Caption">
    <w:name w:val="caption"/>
    <w:aliases w:val="Table Caption,Char,Table Title,Caption Char1 Char"/>
    <w:link w:val="CaptionChar"/>
    <w:autoRedefine/>
    <w:uiPriority w:val="99"/>
    <w:qFormat/>
    <w:rsid w:val="0044544A"/>
    <w:pPr>
      <w:keepNext/>
      <w:jc w:val="center"/>
    </w:pPr>
    <w:rPr>
      <w:rFonts w:ascii="Franklin Gothic Book" w:eastAsia="Times New Roman" w:hAnsi="Franklin Gothic Book" w:cs="Times New Roman"/>
      <w:bCs/>
      <w:color w:val="4A4D56" w:themeColor="text1"/>
      <w:szCs w:val="20"/>
      <w:lang w:val="en-US"/>
    </w:r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basedOn w:val="TOC3"/>
    <w:rsid w:val="001C4ACA"/>
    <w:pPr>
      <w:ind w:right="-4"/>
    </w:pPr>
    <w:rPr>
      <w:szCs w:val="20"/>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link w:val="CommentTextChar"/>
    <w:uiPriority w:val="99"/>
    <w:rsid w:val="00B51ADD"/>
    <w:rPr>
      <w:sz w:val="20"/>
      <w:szCs w:val="20"/>
    </w:rPr>
  </w:style>
  <w:style w:type="character" w:styleId="Emphasis">
    <w:name w:val="Emphasis"/>
    <w:aliases w:val="Italic CTRL+I"/>
    <w:basedOn w:val="DefaultParagraphFont"/>
    <w:uiPriority w:val="4"/>
    <w:qFormat/>
    <w:rsid w:val="00B51ADD"/>
    <w:rPr>
      <w:i/>
      <w:iCs/>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aliases w:val="Footnote_Reference,o,fr,Style 17,o + Times New Roman,TT - Footnote Reference,FC,Style 9"/>
    <w:basedOn w:val="DefaultParagraphFont"/>
    <w:qFormat/>
    <w:rsid w:val="00B51ADD"/>
    <w:rPr>
      <w:vertAlign w:val="superscript"/>
    </w:rPr>
  </w:style>
  <w:style w:type="paragraph" w:styleId="FootnoteText">
    <w:name w:val="footnote text"/>
    <w:aliases w:val="Footnote_Text,Footnote Text1 Char,Footnote Text Char Ch Char Char Char,Footnote Text Char Ch Char Char,Footnote Text1 Char Char Char,Footnote Text Char Ch Char,Footnote Text Char Ch,ft Char,ft,Char2 Char,TBG Style,ALTS FOOTNOTE,fn,FOOTNOTE"/>
    <w:basedOn w:val="Normal"/>
    <w:link w:val="FootnoteTextChar"/>
    <w:uiPriority w:val="69"/>
    <w:qFormat/>
    <w:rsid w:val="009753EA"/>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aliases w:val="Emphasis (Intense)"/>
    <w:basedOn w:val="DefaultParagraphFont"/>
    <w:uiPriority w:val="4"/>
    <w:rsid w:val="00E7019E"/>
    <w:rPr>
      <w:rFonts w:ascii="Franklin Gothic Demi" w:hAnsi="Franklin Gothic Demi"/>
      <w:b w:val="0"/>
      <w:i w:val="0"/>
      <w:iCs/>
      <w:color w:val="4A4D56" w:themeColor="text1"/>
      <w:sz w:val="22"/>
    </w:rPr>
  </w:style>
  <w:style w:type="paragraph" w:styleId="ListBullet">
    <w:name w:val="List Bullet"/>
    <w:aliases w:val="Bullet Level 1,List Bullet 1 Alt+1"/>
    <w:basedOn w:val="Normal"/>
    <w:uiPriority w:val="9"/>
    <w:qFormat/>
    <w:rsid w:val="002E20E6"/>
    <w:pPr>
      <w:numPr>
        <w:numId w:val="14"/>
      </w:numPr>
      <w:spacing w:before="120" w:after="120"/>
      <w:ind w:left="465" w:hanging="285"/>
    </w:pPr>
  </w:style>
  <w:style w:type="paragraph" w:styleId="ListBullet2">
    <w:name w:val="List Bullet 2"/>
    <w:aliases w:val="Bullet Level 2,List Bullet 2 Alt+2"/>
    <w:basedOn w:val="ListBullet"/>
    <w:uiPriority w:val="9"/>
    <w:qFormat/>
    <w:rsid w:val="001C32D6"/>
    <w:pPr>
      <w:numPr>
        <w:ilvl w:val="1"/>
      </w:numPr>
      <w:ind w:left="735" w:hanging="285"/>
    </w:pPr>
  </w:style>
  <w:style w:type="paragraph" w:styleId="ListBullet3">
    <w:name w:val="List Bullet 3"/>
    <w:aliases w:val="Bullet Level 3,List Bullet 3 Alt+3"/>
    <w:basedOn w:val="ListBullet2"/>
    <w:uiPriority w:val="9"/>
    <w:qFormat/>
    <w:rsid w:val="001C32D6"/>
    <w:pPr>
      <w:numPr>
        <w:ilvl w:val="2"/>
      </w:numPr>
      <w:ind w:left="1035" w:hanging="285"/>
    </w:p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1"/>
    <w:qFormat/>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link w:val="NoSpacingChar"/>
    <w:uiPriority w:val="1"/>
    <w:qFormat/>
    <w:rsid w:val="00F6662D"/>
    <w:pPr>
      <w:spacing w:after="0"/>
    </w:pPr>
  </w:style>
  <w:style w:type="paragraph" w:customStyle="1" w:styleId="NoList1">
    <w:name w:val="No. List 1"/>
    <w:aliases w:val="No. List 1 Alt+L,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aliases w:val="No. List 2 Alt+L,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paragraph" w:styleId="Subtitle">
    <w:name w:val="Subtitle"/>
    <w:aliases w:val="Title 2"/>
    <w:basedOn w:val="Normal"/>
    <w:next w:val="Normal"/>
    <w:link w:val="SubtitleChar"/>
    <w:uiPriority w:val="69"/>
    <w:rsid w:val="00B85543"/>
    <w:pPr>
      <w:ind w:left="446" w:right="6163"/>
    </w:pPr>
    <w:rPr>
      <w:rFonts w:ascii="Rift Soft" w:hAnsi="Rift Soft"/>
      <w:color w:val="265EAC" w:themeColor="accent2"/>
      <w:sz w:val="40"/>
      <w:szCs w:val="44"/>
    </w:rPr>
  </w:style>
  <w:style w:type="paragraph" w:customStyle="1" w:styleId="Title3">
    <w:name w:val="Title 3"/>
    <w:basedOn w:val="Normal"/>
    <w:uiPriority w:val="69"/>
    <w:rsid w:val="00B85543"/>
    <w:pPr>
      <w:spacing w:after="0"/>
      <w:ind w:left="446" w:right="6163"/>
    </w:pPr>
    <w:rPr>
      <w:rFonts w:ascii="Rift Soft" w:hAnsi="Rift Soft"/>
      <w:sz w:val="32"/>
      <w:szCs w:val="28"/>
    </w:rPr>
  </w:style>
  <w:style w:type="character" w:styleId="SubtleEmphasis">
    <w:name w:val="Subtle Emphasis"/>
    <w:aliases w:val="Emphasis (Subtle)"/>
    <w:uiPriority w:val="4"/>
    <w:qFormat/>
    <w:rsid w:val="00E7019E"/>
    <w:rPr>
      <w:rFonts w:asciiTheme="minorHAnsi" w:hAnsiTheme="minorHAnsi"/>
      <w:b/>
      <w:iCs/>
      <w:color w:val="4A4D56" w:themeColor="text1"/>
      <w:sz w:val="22"/>
    </w:rPr>
  </w:style>
  <w:style w:type="paragraph" w:styleId="TOC1">
    <w:name w:val="toc 1"/>
    <w:aliases w:val="TOC Entries"/>
    <w:basedOn w:val="Normal"/>
    <w:next w:val="Normal"/>
    <w:autoRedefine/>
    <w:uiPriority w:val="39"/>
    <w:qFormat/>
    <w:rsid w:val="00155088"/>
    <w:pPr>
      <w:tabs>
        <w:tab w:val="left" w:pos="1584"/>
        <w:tab w:val="right" w:leader="dot" w:pos="10746"/>
      </w:tabs>
      <w:spacing w:before="120" w:after="120"/>
      <w:ind w:left="360" w:right="-4" w:hanging="360"/>
    </w:pPr>
    <w:rPr>
      <w:noProof/>
    </w:rPr>
  </w:style>
  <w:style w:type="paragraph" w:styleId="TOC2">
    <w:name w:val="toc 2"/>
    <w:aliases w:val="TOC 2 Style"/>
    <w:basedOn w:val="Normal"/>
    <w:next w:val="Normal"/>
    <w:autoRedefine/>
    <w:uiPriority w:val="39"/>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150B28"/>
    <w:pPr>
      <w:spacing w:before="10"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link w:val="TableLeftTextChar"/>
    <w:uiPriority w:val="6"/>
    <w:qFormat/>
    <w:rsid w:val="00150B28"/>
    <w:pPr>
      <w:spacing w:before="10"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aliases w:val="Table Right Alt+T,R"/>
    <w:basedOn w:val="Normal"/>
    <w:uiPriority w:val="6"/>
    <w:rsid w:val="00150B28"/>
    <w:pPr>
      <w:spacing w:before="10" w:after="0"/>
      <w:jc w:val="right"/>
    </w:pPr>
    <w:rPr>
      <w:sz w:val="20"/>
    </w:rPr>
  </w:style>
  <w:style w:type="paragraph" w:customStyle="1" w:styleId="TableHeadingCentered">
    <w:name w:val="Table Heading (Centered)"/>
    <w:uiPriority w:val="6"/>
    <w:qFormat/>
    <w:rsid w:val="00150B28"/>
    <w:pPr>
      <w:spacing w:before="10"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150B28"/>
    <w:pPr>
      <w:spacing w:before="10"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TOC1"/>
    <w:next w:val="Normal"/>
    <w:uiPriority w:val="99"/>
    <w:rsid w:val="002C2C1C"/>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paragraph" w:styleId="Title">
    <w:name w:val="Title"/>
    <w:basedOn w:val="Normal"/>
    <w:next w:val="Normal"/>
    <w:link w:val="TitleChar"/>
    <w:uiPriority w:val="69"/>
    <w:qFormat/>
    <w:rsid w:val="00B65B28"/>
    <w:pPr>
      <w:spacing w:after="0" w:line="800" w:lineRule="exact"/>
      <w:ind w:left="435" w:right="4290"/>
    </w:pPr>
    <w:rPr>
      <w:rFonts w:ascii="Rift Soft Medium" w:hAnsi="Rift Soft Medium"/>
      <w:color w:val="053572"/>
      <w:sz w:val="56"/>
      <w:szCs w:val="72"/>
      <w:lang w:val="en-ZA"/>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character" w:customStyle="1" w:styleId="BodyTextChar">
    <w:name w:val="Body Text Char"/>
    <w:aliases w:val="bt Char1,body text Char,Body Text Char Char Char Char Char Char Char Char Char Char Char Char Char Char Char Char,Body Text1 Char Char Char Char Char,Body Text Char Char1 Char Char Char Char Char Char Char,Body Text Char Char Char"/>
    <w:basedOn w:val="DefaultParagraphFont"/>
    <w:link w:val="BodyText"/>
    <w:uiPriority w:val="69"/>
    <w:rsid w:val="00E7019E"/>
    <w:rPr>
      <w:rFonts w:ascii="Franklin Gothic Book" w:eastAsia="Times New Roman" w:hAnsi="Franklin Gothic Book" w:cs="Times New Roman"/>
      <w:color w:val="4A4D56" w:themeColor="text1"/>
      <w:lang w:val="en-US"/>
    </w:rPr>
  </w:style>
  <w:style w:type="paragraph" w:styleId="IntenseQuote">
    <w:name w:val="Intense Quote"/>
    <w:basedOn w:val="Normal"/>
    <w:next w:val="Normal"/>
    <w:link w:val="IntenseQuoteChar"/>
    <w:uiPriority w:val="30"/>
    <w:qFormat/>
    <w:rsid w:val="00D075CA"/>
    <w:pPr>
      <w:pBdr>
        <w:top w:val="single" w:sz="4" w:space="10" w:color="172B54"/>
        <w:bottom w:val="single" w:sz="4" w:space="10" w:color="172B54"/>
      </w:pBdr>
      <w:spacing w:before="360" w:after="360" w:line="240" w:lineRule="auto"/>
      <w:ind w:left="864" w:right="864"/>
      <w:jc w:val="center"/>
    </w:pPr>
    <w:rPr>
      <w:rFonts w:eastAsia="Franklin Gothic Book"/>
      <w:i/>
      <w:iCs/>
      <w:color w:val="809EDC" w:themeColor="accent1" w:themeTint="66"/>
      <w:sz w:val="24"/>
    </w:rPr>
  </w:style>
  <w:style w:type="character" w:customStyle="1" w:styleId="IntenseQuoteChar">
    <w:name w:val="Intense Quote Char"/>
    <w:basedOn w:val="DefaultParagraphFont"/>
    <w:link w:val="IntenseQuote"/>
    <w:uiPriority w:val="30"/>
    <w:rsid w:val="00D075CA"/>
    <w:rPr>
      <w:rFonts w:ascii="Franklin Gothic Book" w:eastAsia="Franklin Gothic Book" w:hAnsi="Franklin Gothic Book" w:cs="Times New Roman"/>
      <w:i/>
      <w:iCs/>
      <w:color w:val="809EDC" w:themeColor="accent1" w:themeTint="66"/>
      <w:sz w:val="24"/>
      <w:lang w:val="en-US"/>
    </w:rPr>
  </w:style>
  <w:style w:type="character" w:customStyle="1" w:styleId="TitleChar">
    <w:name w:val="Title Char"/>
    <w:basedOn w:val="DefaultParagraphFont"/>
    <w:link w:val="Title"/>
    <w:uiPriority w:val="69"/>
    <w:rsid w:val="00D4245B"/>
    <w:rPr>
      <w:rFonts w:ascii="Rift Soft Medium" w:eastAsia="Times New Roman" w:hAnsi="Rift Soft Medium" w:cs="Times New Roman"/>
      <w:color w:val="053572"/>
      <w:sz w:val="56"/>
      <w:szCs w:val="72"/>
    </w:rPr>
  </w:style>
  <w:style w:type="paragraph" w:customStyle="1" w:styleId="SectionName">
    <w:name w:val="Section Name"/>
    <w:link w:val="SectionNameChar"/>
    <w:unhideWhenUsed/>
    <w:qFormat/>
    <w:rsid w:val="00994030"/>
    <w:pPr>
      <w:spacing w:before="300" w:after="300"/>
      <w:ind w:left="435" w:right="2610"/>
    </w:pPr>
    <w:rPr>
      <w:rFonts w:ascii="Rift Soft Medium" w:eastAsia="Times New Roman" w:hAnsi="Rift Soft Medium" w:cs="Times New Roman"/>
      <w:iCs/>
      <w:noProof/>
      <w:color w:val="172B54" w:themeColor="accent1"/>
      <w:sz w:val="72"/>
      <w:szCs w:val="72"/>
    </w:rPr>
  </w:style>
  <w:style w:type="character" w:customStyle="1" w:styleId="SectionNameChar">
    <w:name w:val="Section Name Char"/>
    <w:basedOn w:val="DefaultParagraphFont"/>
    <w:link w:val="SectionName"/>
    <w:rsid w:val="006306B7"/>
    <w:rPr>
      <w:rFonts w:ascii="Rift Soft Medium" w:eastAsia="Times New Roman" w:hAnsi="Rift Soft Medium" w:cs="Times New Roman"/>
      <w:iCs/>
      <w:noProof/>
      <w:color w:val="172B54" w:themeColor="accent1"/>
      <w:sz w:val="72"/>
      <w:szCs w:val="72"/>
    </w:rPr>
  </w:style>
  <w:style w:type="paragraph" w:styleId="Header">
    <w:name w:val="header"/>
    <w:basedOn w:val="Normal"/>
    <w:link w:val="HeaderChar"/>
    <w:uiPriority w:val="99"/>
    <w:rsid w:val="0019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9E"/>
    <w:rPr>
      <w:rFonts w:ascii="Franklin Gothic Book" w:eastAsia="Times New Roman" w:hAnsi="Franklin Gothic Book" w:cs="Times New Roman"/>
      <w:color w:val="4A4D56" w:themeColor="text1"/>
      <w:lang w:val="en-US"/>
    </w:rPr>
  </w:style>
  <w:style w:type="paragraph" w:customStyle="1" w:styleId="SectionSubtitle">
    <w:name w:val="Section Subtitle"/>
    <w:basedOn w:val="SectionName"/>
    <w:link w:val="SectionSubtitleChar"/>
    <w:unhideWhenUsed/>
    <w:qFormat/>
    <w:rsid w:val="00A5705E"/>
    <w:rPr>
      <w:rFonts w:ascii="Rift Soft" w:hAnsi="Rift Soft"/>
      <w:color w:val="1FA9E1" w:themeColor="accent3"/>
      <w:sz w:val="40"/>
      <w:szCs w:val="40"/>
      <w:lang w:val="en-US"/>
    </w:rPr>
  </w:style>
  <w:style w:type="character" w:customStyle="1" w:styleId="SectionSubtitleChar">
    <w:name w:val="Section Subtitle Char"/>
    <w:basedOn w:val="DefaultParagraphFont"/>
    <w:link w:val="SectionSubtitle"/>
    <w:rsid w:val="006306B7"/>
    <w:rPr>
      <w:rFonts w:ascii="Rift Soft" w:eastAsia="Times New Roman" w:hAnsi="Rift Soft" w:cs="Times New Roman"/>
      <w:iCs/>
      <w:noProof/>
      <w:color w:val="1FA9E1" w:themeColor="accent3"/>
      <w:sz w:val="40"/>
      <w:szCs w:val="40"/>
      <w:lang w:val="en-US"/>
    </w:rPr>
  </w:style>
  <w:style w:type="character" w:customStyle="1" w:styleId="NoSpacingChar">
    <w:name w:val="No Spacing Char"/>
    <w:basedOn w:val="DefaultParagraphFont"/>
    <w:link w:val="NoSpacing"/>
    <w:uiPriority w:val="1"/>
    <w:rsid w:val="001F322C"/>
    <w:rPr>
      <w:rFonts w:ascii="Franklin Gothic Book" w:eastAsia="Times New Roman" w:hAnsi="Franklin Gothic Book" w:cs="Times New Roman"/>
      <w:color w:val="4A4D56" w:themeColor="text1"/>
      <w:lang w:val="en-US"/>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basedOn w:val="TableHeadingCentered"/>
    <w:qFormat/>
    <w:rsid w:val="007C5AA1"/>
    <w:pPr>
      <w:jc w:val="left"/>
    </w:pPr>
  </w:style>
  <w:style w:type="paragraph" w:customStyle="1" w:styleId="Source">
    <w:name w:val="Source"/>
    <w:basedOn w:val="Caption"/>
    <w:next w:val="Normal"/>
    <w:link w:val="SourceChar"/>
    <w:qFormat/>
    <w:rsid w:val="00D546DC"/>
    <w:pPr>
      <w:spacing w:before="40" w:after="60" w:line="240" w:lineRule="auto"/>
      <w:jc w:val="left"/>
    </w:pPr>
    <w:rPr>
      <w:sz w:val="18"/>
    </w:rPr>
  </w:style>
  <w:style w:type="character" w:customStyle="1" w:styleId="CaptionChar">
    <w:name w:val="Caption Char"/>
    <w:aliases w:val="Table Caption Char,Char Char,Table Title Char,Caption Char1 Char Char"/>
    <w:basedOn w:val="DefaultParagraphFont"/>
    <w:link w:val="Caption"/>
    <w:uiPriority w:val="99"/>
    <w:rsid w:val="0044544A"/>
    <w:rPr>
      <w:rFonts w:ascii="Franklin Gothic Book" w:eastAsia="Times New Roman" w:hAnsi="Franklin Gothic Book" w:cs="Times New Roman"/>
      <w:bCs/>
      <w:color w:val="4A4D56" w:themeColor="text1"/>
      <w:szCs w:val="20"/>
      <w:lang w:val="en-US"/>
    </w:rPr>
  </w:style>
  <w:style w:type="character" w:customStyle="1" w:styleId="SourceChar">
    <w:name w:val="Source Char"/>
    <w:basedOn w:val="CaptionChar"/>
    <w:link w:val="Source"/>
    <w:rsid w:val="00D546DC"/>
    <w:rPr>
      <w:rFonts w:ascii="Franklin Gothic Book" w:eastAsia="Times New Roman" w:hAnsi="Franklin Gothic Book" w:cs="Times New Roman"/>
      <w:bCs/>
      <w:color w:val="4A4D56" w:themeColor="text1"/>
      <w:sz w:val="18"/>
      <w:szCs w:val="20"/>
      <w:lang w:val="en-US"/>
    </w:rPr>
  </w:style>
  <w:style w:type="paragraph" w:customStyle="1" w:styleId="AppendicesEntries">
    <w:name w:val="Appendices Entries"/>
    <w:basedOn w:val="TOC1"/>
    <w:rsid w:val="003C4811"/>
    <w:rPr>
      <w:szCs w:val="20"/>
    </w:rPr>
  </w:style>
  <w:style w:type="paragraph" w:customStyle="1" w:styleId="TableTextLeftMedium">
    <w:name w:val="Table Text Left (Medium)"/>
    <w:basedOn w:val="TableHeadingLeft"/>
    <w:qFormat/>
    <w:rsid w:val="00150B28"/>
    <w:rPr>
      <w:color w:val="4A4D56" w:themeColor="text1"/>
      <w:szCs w:val="22"/>
    </w:rPr>
  </w:style>
  <w:style w:type="numbering" w:customStyle="1" w:styleId="Addendum">
    <w:name w:val="Addendum"/>
    <w:basedOn w:val="NoList"/>
    <w:uiPriority w:val="99"/>
    <w:rsid w:val="00143669"/>
    <w:pPr>
      <w:numPr>
        <w:numId w:val="18"/>
      </w:numPr>
    </w:pPr>
  </w:style>
  <w:style w:type="character" w:customStyle="1" w:styleId="SubtitleChar">
    <w:name w:val="Subtitle Char"/>
    <w:aliases w:val="Title 2 Char"/>
    <w:basedOn w:val="DefaultParagraphFont"/>
    <w:link w:val="Subtitle"/>
    <w:uiPriority w:val="69"/>
    <w:rsid w:val="00344C23"/>
    <w:rPr>
      <w:rFonts w:ascii="Rift Soft" w:eastAsia="Times New Roman" w:hAnsi="Rift Soft" w:cs="Times New Roman"/>
      <w:color w:val="265EAC" w:themeColor="accent2"/>
      <w:sz w:val="40"/>
      <w:szCs w:val="44"/>
      <w:lang w:val="en-US"/>
    </w:rPr>
  </w:style>
  <w:style w:type="paragraph" w:customStyle="1" w:styleId="ResumeStyle2">
    <w:name w:val="Resume Style 2"/>
    <w:basedOn w:val="Normal"/>
    <w:semiHidden/>
    <w:qFormat/>
    <w:rsid w:val="00E7019E"/>
    <w:rPr>
      <w:color w:val="053572" w:themeColor="text2"/>
      <w:sz w:val="24"/>
    </w:rPr>
  </w:style>
  <w:style w:type="paragraph" w:customStyle="1" w:styleId="ResumeText">
    <w:name w:val="Resume Text"/>
    <w:basedOn w:val="Normal"/>
    <w:semiHidden/>
    <w:qFormat/>
    <w:rsid w:val="00D4245B"/>
    <w:pPr>
      <w:spacing w:before="200" w:after="200" w:line="240" w:lineRule="auto"/>
    </w:pPr>
  </w:style>
  <w:style w:type="paragraph" w:customStyle="1" w:styleId="ResumeHeading1">
    <w:name w:val="Resume Heading 1"/>
    <w:basedOn w:val="ResumeText"/>
    <w:semiHidden/>
    <w:qFormat/>
    <w:rsid w:val="00D4245B"/>
    <w:pPr>
      <w:spacing w:before="120" w:after="0"/>
    </w:pPr>
    <w:rPr>
      <w:rFonts w:ascii="Rift Soft Medium" w:hAnsi="Rift Soft Medium"/>
      <w:color w:val="053572" w:themeColor="text2"/>
      <w:sz w:val="56"/>
    </w:rPr>
  </w:style>
  <w:style w:type="paragraph" w:customStyle="1" w:styleId="ResumeHeading2">
    <w:name w:val="Resume Heading 2"/>
    <w:basedOn w:val="ResumeHeading1"/>
    <w:semiHidden/>
    <w:qFormat/>
    <w:rsid w:val="00D4245B"/>
    <w:pPr>
      <w:spacing w:before="40" w:after="100"/>
    </w:pPr>
    <w:rPr>
      <w:rFonts w:ascii="Franklin Gothic Medium" w:hAnsi="Franklin Gothic Medium"/>
      <w:color w:val="1FA9E1" w:themeColor="accent3"/>
      <w:sz w:val="28"/>
    </w:rPr>
  </w:style>
  <w:style w:type="paragraph" w:customStyle="1" w:styleId="Alpha">
    <w:name w:val="Alpha"/>
    <w:basedOn w:val="Heading1"/>
    <w:qFormat/>
    <w:rsid w:val="00E37377"/>
    <w:pPr>
      <w:numPr>
        <w:numId w:val="20"/>
      </w:numPr>
      <w:spacing w:line="440" w:lineRule="exact"/>
    </w:pPr>
  </w:style>
  <w:style w:type="paragraph" w:customStyle="1" w:styleId="AppendixBeta">
    <w:name w:val="Appendix Beta"/>
    <w:basedOn w:val="Heading2"/>
    <w:qFormat/>
    <w:rsid w:val="009E5DB3"/>
    <w:pPr>
      <w:numPr>
        <w:ilvl w:val="0"/>
        <w:numId w:val="0"/>
      </w:numPr>
    </w:pPr>
  </w:style>
  <w:style w:type="paragraph" w:customStyle="1" w:styleId="AppendixGamma">
    <w:name w:val="Appendix Gamma"/>
    <w:basedOn w:val="Heading3"/>
    <w:qFormat/>
    <w:rsid w:val="009E5DB3"/>
    <w:pPr>
      <w:numPr>
        <w:ilvl w:val="0"/>
        <w:numId w:val="0"/>
      </w:numPr>
    </w:pPr>
  </w:style>
  <w:style w:type="paragraph" w:customStyle="1" w:styleId="FooterLeft">
    <w:name w:val="Footer Left"/>
    <w:basedOn w:val="Footer"/>
    <w:qFormat/>
    <w:rsid w:val="00732AD4"/>
    <w:pPr>
      <w:tabs>
        <w:tab w:val="left" w:pos="4320"/>
      </w:tabs>
      <w:spacing w:line="240" w:lineRule="auto"/>
      <w:jc w:val="left"/>
    </w:pPr>
  </w:style>
  <w:style w:type="character" w:customStyle="1" w:styleId="FootnoteTextChar">
    <w:name w:val="Footnote Text Char"/>
    <w:aliases w:val="Footnote_Text Char,Footnote Text1 Char Char,Footnote Text Char Ch Char Char Char Char,Footnote Text Char Ch Char Char Char1,Footnote Text1 Char Char Char Char,Footnote Text Char Ch Char Char1,Footnote Text Char Ch Char1,ft Char Char"/>
    <w:basedOn w:val="DefaultParagraphFont"/>
    <w:link w:val="FootnoteText"/>
    <w:uiPriority w:val="69"/>
    <w:rsid w:val="00067DBC"/>
    <w:rPr>
      <w:rFonts w:ascii="Franklin Gothic Book" w:eastAsia="Times New Roman" w:hAnsi="Franklin Gothic Book" w:cs="Times New Roman"/>
      <w:color w:val="4A4D56" w:themeColor="text1"/>
      <w:sz w:val="18"/>
      <w:szCs w:val="20"/>
      <w:lang w:val="en-US"/>
    </w:rPr>
  </w:style>
  <w:style w:type="paragraph" w:customStyle="1" w:styleId="TableContents">
    <w:name w:val="Table Contents"/>
    <w:basedOn w:val="Normal"/>
    <w:rsid w:val="00067DBC"/>
    <w:pPr>
      <w:spacing w:after="0" w:line="240" w:lineRule="auto"/>
      <w:jc w:val="center"/>
    </w:pPr>
    <w:rPr>
      <w:rFonts w:ascii="Franklin Gothic Medium" w:hAnsi="Franklin Gothic Medium"/>
      <w:sz w:val="18"/>
      <w:szCs w:val="20"/>
    </w:rPr>
  </w:style>
  <w:style w:type="character" w:styleId="CommentReference">
    <w:name w:val="annotation reference"/>
    <w:basedOn w:val="DefaultParagraphFont"/>
    <w:semiHidden/>
    <w:unhideWhenUsed/>
    <w:rsid w:val="00067DBC"/>
    <w:rPr>
      <w:sz w:val="16"/>
      <w:szCs w:val="16"/>
    </w:rPr>
  </w:style>
  <w:style w:type="paragraph" w:customStyle="1" w:styleId="ODTable">
    <w:name w:val="OD Table"/>
    <w:link w:val="ODTableChar"/>
    <w:qFormat/>
    <w:rsid w:val="00067DBC"/>
    <w:pPr>
      <w:spacing w:after="0" w:line="240" w:lineRule="auto"/>
    </w:pPr>
    <w:rPr>
      <w:rFonts w:ascii="Franklin Gothic Book" w:eastAsia="Times New Roman" w:hAnsi="Franklin Gothic Book" w:cs="Times New Roman"/>
      <w:color w:val="4A4D56" w:themeColor="text1"/>
      <w:sz w:val="20"/>
      <w:szCs w:val="20"/>
      <w:lang w:val="en-US"/>
    </w:rPr>
  </w:style>
  <w:style w:type="character" w:customStyle="1" w:styleId="ODTableChar">
    <w:name w:val="OD Table Char"/>
    <w:basedOn w:val="DefaultParagraphFont"/>
    <w:link w:val="ODTable"/>
    <w:rsid w:val="00067DBC"/>
    <w:rPr>
      <w:rFonts w:ascii="Franklin Gothic Book" w:eastAsia="Times New Roman" w:hAnsi="Franklin Gothic Book" w:cs="Times New Roman"/>
      <w:color w:val="4A4D56" w:themeColor="text1"/>
      <w:sz w:val="20"/>
      <w:szCs w:val="20"/>
      <w:lang w:val="en-US"/>
    </w:rPr>
  </w:style>
  <w:style w:type="character" w:customStyle="1" w:styleId="CommentTextChar">
    <w:name w:val="Comment Text Char"/>
    <w:basedOn w:val="DefaultParagraphFont"/>
    <w:link w:val="CommentText"/>
    <w:uiPriority w:val="99"/>
    <w:rsid w:val="00067DBC"/>
    <w:rPr>
      <w:rFonts w:ascii="Franklin Gothic Book" w:eastAsia="Times New Roman" w:hAnsi="Franklin Gothic Book" w:cs="Times New Roman"/>
      <w:color w:val="4A4D56" w:themeColor="text1"/>
      <w:sz w:val="20"/>
      <w:szCs w:val="20"/>
      <w:lang w:val="en-US"/>
    </w:rPr>
  </w:style>
  <w:style w:type="paragraph" w:customStyle="1" w:styleId="AppendixLevel4">
    <w:name w:val="Appendix Level 4"/>
    <w:basedOn w:val="Normal"/>
    <w:qFormat/>
    <w:rsid w:val="00067DBC"/>
    <w:rPr>
      <w:rFonts w:ascii="Rift Soft Medium" w:hAnsi="Rift Soft Medium"/>
      <w:color w:val="053572" w:themeColor="text2"/>
      <w:sz w:val="32"/>
    </w:rPr>
  </w:style>
  <w:style w:type="paragraph" w:customStyle="1" w:styleId="AppendixLevel5">
    <w:name w:val="Appendix Level 5"/>
    <w:basedOn w:val="AppendixLevel4"/>
    <w:qFormat/>
    <w:rsid w:val="00067DBC"/>
    <w:rPr>
      <w:rFonts w:ascii="Franklin Gothic Medium" w:hAnsi="Franklin Gothic Medium"/>
      <w:color w:val="416DCB" w:themeColor="accent1" w:themeTint="99"/>
      <w:sz w:val="26"/>
    </w:rPr>
  </w:style>
  <w:style w:type="paragraph" w:customStyle="1" w:styleId="AppendixLevel6">
    <w:name w:val="Appendix Level 6"/>
    <w:basedOn w:val="AppendixLevel5"/>
    <w:qFormat/>
    <w:rsid w:val="00067DBC"/>
    <w:rPr>
      <w:color w:val="1FA9E1" w:themeColor="accent3"/>
      <w:sz w:val="22"/>
    </w:rPr>
  </w:style>
  <w:style w:type="paragraph" w:styleId="Revision">
    <w:name w:val="Revision"/>
    <w:hidden/>
    <w:uiPriority w:val="99"/>
    <w:semiHidden/>
    <w:rsid w:val="00067DBC"/>
    <w:pPr>
      <w:spacing w:after="0" w:line="240" w:lineRule="auto"/>
    </w:pPr>
    <w:rPr>
      <w:rFonts w:ascii="Franklin Gothic Book" w:eastAsia="Times New Roman" w:hAnsi="Franklin Gothic Book" w:cs="Times New Roman"/>
      <w:color w:val="4A4D56" w:themeColor="text1"/>
      <w:lang w:val="en-US"/>
    </w:rPr>
  </w:style>
  <w:style w:type="character" w:customStyle="1" w:styleId="Heading4Char">
    <w:name w:val="Heading 4 Char"/>
    <w:basedOn w:val="DefaultParagraphFont"/>
    <w:link w:val="Heading4"/>
    <w:uiPriority w:val="9"/>
    <w:rsid w:val="00067DBC"/>
    <w:rPr>
      <w:rFonts w:ascii="Rift Soft Medium" w:eastAsia="Times New Roman" w:hAnsi="Rift Soft Medium" w:cs="Arial"/>
      <w:bCs/>
      <w:color w:val="053572" w:themeColor="text2"/>
      <w:sz w:val="32"/>
      <w:szCs w:val="24"/>
      <w:lang w:val="en-US"/>
    </w:rPr>
  </w:style>
  <w:style w:type="paragraph" w:customStyle="1" w:styleId="TableTitleText">
    <w:name w:val="Table Title Text"/>
    <w:aliases w:val="Table Title Alt+T,T"/>
    <w:basedOn w:val="TableLeftText"/>
    <w:uiPriority w:val="6"/>
    <w:qFormat/>
    <w:rsid w:val="00067DBC"/>
    <w:pPr>
      <w:spacing w:before="0"/>
      <w:jc w:val="center"/>
    </w:pPr>
    <w:rPr>
      <w:rFonts w:asciiTheme="majorHAnsi" w:hAnsiTheme="majorHAnsi"/>
      <w:color w:val="FFFFFF" w:themeColor="background2"/>
      <w:szCs w:val="20"/>
    </w:rPr>
  </w:style>
  <w:style w:type="paragraph" w:customStyle="1" w:styleId="NoList4">
    <w:name w:val="No. List 4"/>
    <w:basedOn w:val="ListParagraph"/>
    <w:uiPriority w:val="9"/>
    <w:rsid w:val="00067DBC"/>
    <w:pPr>
      <w:tabs>
        <w:tab w:val="num" w:pos="360"/>
      </w:tabs>
      <w:spacing w:after="120" w:line="240" w:lineRule="auto"/>
      <w:ind w:left="0"/>
      <w:contextualSpacing w:val="0"/>
      <w:jc w:val="both"/>
    </w:pPr>
    <w:rPr>
      <w:rFonts w:asciiTheme="minorHAnsi" w:hAnsiTheme="minorHAnsi"/>
      <w:color w:val="auto"/>
    </w:rPr>
  </w:style>
  <w:style w:type="paragraph" w:customStyle="1" w:styleId="NoList5">
    <w:name w:val="No. List 5"/>
    <w:basedOn w:val="ListParagraph"/>
    <w:uiPriority w:val="9"/>
    <w:rsid w:val="00067DBC"/>
    <w:pPr>
      <w:tabs>
        <w:tab w:val="num" w:pos="360"/>
      </w:tabs>
      <w:spacing w:after="120" w:line="240" w:lineRule="auto"/>
      <w:ind w:left="0"/>
      <w:contextualSpacing w:val="0"/>
      <w:jc w:val="both"/>
    </w:pPr>
    <w:rPr>
      <w:rFonts w:asciiTheme="minorHAnsi" w:hAnsiTheme="minorHAnsi"/>
      <w:color w:val="auto"/>
    </w:rPr>
  </w:style>
  <w:style w:type="paragraph" w:customStyle="1" w:styleId="NoList6">
    <w:name w:val="No. List 6"/>
    <w:basedOn w:val="ListParagraph"/>
    <w:uiPriority w:val="9"/>
    <w:rsid w:val="00067DBC"/>
    <w:pPr>
      <w:tabs>
        <w:tab w:val="num" w:pos="360"/>
      </w:tabs>
      <w:spacing w:after="120" w:line="240" w:lineRule="auto"/>
      <w:ind w:left="0"/>
      <w:contextualSpacing w:val="0"/>
      <w:jc w:val="both"/>
    </w:pPr>
    <w:rPr>
      <w:rFonts w:asciiTheme="minorHAnsi" w:hAnsiTheme="minorHAnsi"/>
      <w:color w:val="auto"/>
    </w:rPr>
  </w:style>
  <w:style w:type="character" w:customStyle="1" w:styleId="TableLeftTextChar">
    <w:name w:val="Table Left Text Char"/>
    <w:aliases w:val="Table Left Alt+T Char,L Char"/>
    <w:basedOn w:val="BodyTextChar"/>
    <w:link w:val="TableLeftText"/>
    <w:uiPriority w:val="6"/>
    <w:rsid w:val="00067DBC"/>
    <w:rPr>
      <w:rFonts w:ascii="Franklin Gothic Book" w:eastAsia="Times New Roman" w:hAnsi="Franklin Gothic Book" w:cs="Times New Roman"/>
      <w:color w:val="4A4D56" w:themeColor="text1"/>
      <w:sz w:val="20"/>
      <w:lang w:val="en-US"/>
    </w:rPr>
  </w:style>
  <w:style w:type="numbering" w:customStyle="1" w:styleId="NumberList">
    <w:name w:val="Number List"/>
    <w:uiPriority w:val="99"/>
    <w:rsid w:val="00067DBC"/>
    <w:pPr>
      <w:numPr>
        <w:numId w:val="22"/>
      </w:numPr>
    </w:pPr>
  </w:style>
  <w:style w:type="character" w:customStyle="1" w:styleId="Heading5Char">
    <w:name w:val="Heading 5 Char"/>
    <w:basedOn w:val="DefaultParagraphFont"/>
    <w:link w:val="Heading5"/>
    <w:uiPriority w:val="9"/>
    <w:rsid w:val="00067DBC"/>
    <w:rPr>
      <w:rFonts w:asciiTheme="majorHAnsi" w:eastAsia="Times New Roman" w:hAnsiTheme="majorHAnsi" w:cs="Arial"/>
      <w:bCs/>
      <w:iCs/>
      <w:color w:val="416DCB" w:themeColor="accent1" w:themeTint="99"/>
      <w:sz w:val="26"/>
      <w:lang w:val="en-US"/>
    </w:rPr>
  </w:style>
  <w:style w:type="paragraph" w:customStyle="1" w:styleId="Default">
    <w:name w:val="Default"/>
    <w:rsid w:val="00067DBC"/>
    <w:pPr>
      <w:autoSpaceDE w:val="0"/>
      <w:autoSpaceDN w:val="0"/>
      <w:adjustRightInd w:val="0"/>
      <w:spacing w:after="0" w:line="240" w:lineRule="auto"/>
    </w:pPr>
    <w:rPr>
      <w:rFonts w:ascii="Franklin Gothic Book" w:hAnsi="Franklin Gothic Book" w:cs="Franklin Gothic Book"/>
      <w:color w:val="000000"/>
      <w:sz w:val="24"/>
      <w:szCs w:val="24"/>
      <w:lang w:val="en-US"/>
    </w:rPr>
  </w:style>
  <w:style w:type="character" w:customStyle="1" w:styleId="ui-provider">
    <w:name w:val="ui-provider"/>
    <w:basedOn w:val="DefaultParagraphFont"/>
    <w:rsid w:val="00067DBC"/>
  </w:style>
  <w:style w:type="paragraph" w:customStyle="1" w:styleId="AppendixOne">
    <w:name w:val="Appendix One"/>
    <w:next w:val="Normal"/>
    <w:qFormat/>
    <w:rsid w:val="00067DBC"/>
    <w:pPr>
      <w:pageBreakBefore/>
      <w:numPr>
        <w:numId w:val="27"/>
      </w:numPr>
      <w:outlineLvl w:val="0"/>
    </w:pPr>
    <w:rPr>
      <w:rFonts w:ascii="Rift Soft Medium" w:eastAsia="Times New Roman" w:hAnsi="Rift Soft Medium" w:cs="Times New Roman"/>
      <w:color w:val="053572" w:themeColor="text2"/>
      <w:sz w:val="44"/>
      <w:lang w:val="en-US"/>
    </w:rPr>
  </w:style>
  <w:style w:type="paragraph" w:customStyle="1" w:styleId="AppendixTwo">
    <w:name w:val="Appendix Two"/>
    <w:next w:val="Normal"/>
    <w:qFormat/>
    <w:rsid w:val="00067DBC"/>
    <w:pPr>
      <w:spacing w:before="100" w:beforeAutospacing="1" w:after="100" w:afterAutospacing="1"/>
      <w:outlineLvl w:val="1"/>
    </w:pPr>
    <w:rPr>
      <w:rFonts w:ascii="Rift Soft Medium" w:eastAsia="Times New Roman" w:hAnsi="Rift Soft Medium" w:cs="Times New Roman"/>
      <w:color w:val="416DCB"/>
      <w:sz w:val="40"/>
      <w:lang w:val="en-US"/>
    </w:rPr>
  </w:style>
  <w:style w:type="paragraph" w:customStyle="1" w:styleId="AppendixThree">
    <w:name w:val="Appendix Three"/>
    <w:next w:val="Normal"/>
    <w:qFormat/>
    <w:rsid w:val="00067DBC"/>
    <w:pPr>
      <w:keepNext/>
      <w:keepLines/>
      <w:spacing w:before="100" w:beforeAutospacing="1"/>
      <w:outlineLvl w:val="2"/>
    </w:pPr>
    <w:rPr>
      <w:rFonts w:ascii="Rift Soft Medium" w:eastAsia="Times New Roman" w:hAnsi="Rift Soft Medium" w:cs="Times New Roman"/>
      <w:color w:val="1FA9E1"/>
      <w:sz w:val="36"/>
      <w:lang w:val="en-US"/>
    </w:rPr>
  </w:style>
  <w:style w:type="paragraph" w:customStyle="1" w:styleId="Tablecontents0">
    <w:name w:val="Table contents"/>
    <w:basedOn w:val="Normal"/>
    <w:rsid w:val="00067DBC"/>
    <w:pPr>
      <w:spacing w:after="0" w:line="240" w:lineRule="auto"/>
      <w:jc w:val="center"/>
    </w:pPr>
    <w:rPr>
      <w:rFonts w:ascii="Franklin Gothic Medium" w:hAnsi="Franklin Gothic Medium"/>
      <w:sz w:val="18"/>
      <w:szCs w:val="20"/>
    </w:rPr>
  </w:style>
  <w:style w:type="paragraph" w:customStyle="1" w:styleId="Subtitle2">
    <w:name w:val="Subtitle 2"/>
    <w:basedOn w:val="Normal"/>
    <w:uiPriority w:val="69"/>
    <w:rsid w:val="00067DBC"/>
    <w:pPr>
      <w:spacing w:after="0"/>
      <w:ind w:left="446" w:right="6163"/>
    </w:pPr>
    <w:rPr>
      <w:rFonts w:ascii="Rift Soft Light" w:hAnsi="Rift Soft Light"/>
      <w:sz w:val="44"/>
      <w:szCs w:val="28"/>
    </w:rPr>
  </w:style>
  <w:style w:type="paragraph" w:customStyle="1" w:styleId="SectionSubTitle0">
    <w:name w:val="Section Sub Title"/>
    <w:link w:val="SectionSubTitleChar0"/>
    <w:qFormat/>
    <w:rsid w:val="00067DBC"/>
    <w:rPr>
      <w:rFonts w:ascii="Rift Soft" w:eastAsia="Times New Roman" w:hAnsi="Rift Soft" w:cs="Times New Roman"/>
      <w:color w:val="1FA9E1" w:themeColor="accent3"/>
      <w:sz w:val="40"/>
      <w:szCs w:val="40"/>
      <w:lang w:val="en-US"/>
    </w:rPr>
  </w:style>
  <w:style w:type="character" w:customStyle="1" w:styleId="SectionSubTitleChar0">
    <w:name w:val="Section Sub Title Char"/>
    <w:basedOn w:val="DefaultParagraphFont"/>
    <w:link w:val="SectionSubTitle0"/>
    <w:rsid w:val="00067DBC"/>
    <w:rPr>
      <w:rFonts w:ascii="Rift Soft" w:eastAsia="Times New Roman" w:hAnsi="Rift Soft" w:cs="Times New Roman"/>
      <w:color w:val="1FA9E1" w:themeColor="accent3"/>
      <w:sz w:val="40"/>
      <w:szCs w:val="40"/>
      <w:lang w:val="en-US"/>
    </w:rPr>
  </w:style>
  <w:style w:type="character" w:customStyle="1" w:styleId="Superscript">
    <w:name w:val="Superscript"/>
    <w:basedOn w:val="DefaultParagraphFont"/>
    <w:uiPriority w:val="1"/>
    <w:qFormat/>
    <w:rsid w:val="00067DBC"/>
    <w:rPr>
      <w:noProo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06">
      <w:bodyDiv w:val="1"/>
      <w:marLeft w:val="0"/>
      <w:marRight w:val="0"/>
      <w:marTop w:val="0"/>
      <w:marBottom w:val="0"/>
      <w:divBdr>
        <w:top w:val="none" w:sz="0" w:space="0" w:color="auto"/>
        <w:left w:val="none" w:sz="0" w:space="0" w:color="auto"/>
        <w:bottom w:val="none" w:sz="0" w:space="0" w:color="auto"/>
        <w:right w:val="none" w:sz="0" w:space="0" w:color="auto"/>
      </w:divBdr>
    </w:div>
    <w:div w:id="11808233">
      <w:bodyDiv w:val="1"/>
      <w:marLeft w:val="0"/>
      <w:marRight w:val="0"/>
      <w:marTop w:val="0"/>
      <w:marBottom w:val="0"/>
      <w:divBdr>
        <w:top w:val="none" w:sz="0" w:space="0" w:color="auto"/>
        <w:left w:val="none" w:sz="0" w:space="0" w:color="auto"/>
        <w:bottom w:val="none" w:sz="0" w:space="0" w:color="auto"/>
        <w:right w:val="none" w:sz="0" w:space="0" w:color="auto"/>
      </w:divBdr>
    </w:div>
    <w:div w:id="408232117">
      <w:bodyDiv w:val="1"/>
      <w:marLeft w:val="0"/>
      <w:marRight w:val="0"/>
      <w:marTop w:val="0"/>
      <w:marBottom w:val="0"/>
      <w:divBdr>
        <w:top w:val="none" w:sz="0" w:space="0" w:color="auto"/>
        <w:left w:val="none" w:sz="0" w:space="0" w:color="auto"/>
        <w:bottom w:val="none" w:sz="0" w:space="0" w:color="auto"/>
        <w:right w:val="none" w:sz="0" w:space="0" w:color="auto"/>
      </w:divBdr>
    </w:div>
    <w:div w:id="416446386">
      <w:bodyDiv w:val="1"/>
      <w:marLeft w:val="0"/>
      <w:marRight w:val="0"/>
      <w:marTop w:val="0"/>
      <w:marBottom w:val="0"/>
      <w:divBdr>
        <w:top w:val="none" w:sz="0" w:space="0" w:color="auto"/>
        <w:left w:val="none" w:sz="0" w:space="0" w:color="auto"/>
        <w:bottom w:val="none" w:sz="0" w:space="0" w:color="auto"/>
        <w:right w:val="none" w:sz="0" w:space="0" w:color="auto"/>
      </w:divBdr>
    </w:div>
    <w:div w:id="516817445">
      <w:bodyDiv w:val="1"/>
      <w:marLeft w:val="0"/>
      <w:marRight w:val="0"/>
      <w:marTop w:val="0"/>
      <w:marBottom w:val="0"/>
      <w:divBdr>
        <w:top w:val="none" w:sz="0" w:space="0" w:color="auto"/>
        <w:left w:val="none" w:sz="0" w:space="0" w:color="auto"/>
        <w:bottom w:val="none" w:sz="0" w:space="0" w:color="auto"/>
        <w:right w:val="none" w:sz="0" w:space="0" w:color="auto"/>
      </w:divBdr>
    </w:div>
    <w:div w:id="563683433">
      <w:bodyDiv w:val="1"/>
      <w:marLeft w:val="0"/>
      <w:marRight w:val="0"/>
      <w:marTop w:val="0"/>
      <w:marBottom w:val="0"/>
      <w:divBdr>
        <w:top w:val="none" w:sz="0" w:space="0" w:color="auto"/>
        <w:left w:val="none" w:sz="0" w:space="0" w:color="auto"/>
        <w:bottom w:val="none" w:sz="0" w:space="0" w:color="auto"/>
        <w:right w:val="none" w:sz="0" w:space="0" w:color="auto"/>
      </w:divBdr>
    </w:div>
    <w:div w:id="655063045">
      <w:bodyDiv w:val="1"/>
      <w:marLeft w:val="0"/>
      <w:marRight w:val="0"/>
      <w:marTop w:val="0"/>
      <w:marBottom w:val="0"/>
      <w:divBdr>
        <w:top w:val="none" w:sz="0" w:space="0" w:color="auto"/>
        <w:left w:val="none" w:sz="0" w:space="0" w:color="auto"/>
        <w:bottom w:val="none" w:sz="0" w:space="0" w:color="auto"/>
        <w:right w:val="none" w:sz="0" w:space="0" w:color="auto"/>
      </w:divBdr>
    </w:div>
    <w:div w:id="836457570">
      <w:bodyDiv w:val="1"/>
      <w:marLeft w:val="0"/>
      <w:marRight w:val="0"/>
      <w:marTop w:val="0"/>
      <w:marBottom w:val="0"/>
      <w:divBdr>
        <w:top w:val="none" w:sz="0" w:space="0" w:color="auto"/>
        <w:left w:val="none" w:sz="0" w:space="0" w:color="auto"/>
        <w:bottom w:val="none" w:sz="0" w:space="0" w:color="auto"/>
        <w:right w:val="none" w:sz="0" w:space="0" w:color="auto"/>
      </w:divBdr>
    </w:div>
    <w:div w:id="988171545">
      <w:bodyDiv w:val="1"/>
      <w:marLeft w:val="0"/>
      <w:marRight w:val="0"/>
      <w:marTop w:val="0"/>
      <w:marBottom w:val="0"/>
      <w:divBdr>
        <w:top w:val="none" w:sz="0" w:space="0" w:color="auto"/>
        <w:left w:val="none" w:sz="0" w:space="0" w:color="auto"/>
        <w:bottom w:val="none" w:sz="0" w:space="0" w:color="auto"/>
        <w:right w:val="none" w:sz="0" w:space="0" w:color="auto"/>
      </w:divBdr>
    </w:div>
    <w:div w:id="995569233">
      <w:bodyDiv w:val="1"/>
      <w:marLeft w:val="0"/>
      <w:marRight w:val="0"/>
      <w:marTop w:val="0"/>
      <w:marBottom w:val="0"/>
      <w:divBdr>
        <w:top w:val="none" w:sz="0" w:space="0" w:color="auto"/>
        <w:left w:val="none" w:sz="0" w:space="0" w:color="auto"/>
        <w:bottom w:val="none" w:sz="0" w:space="0" w:color="auto"/>
        <w:right w:val="none" w:sz="0" w:space="0" w:color="auto"/>
      </w:divBdr>
    </w:div>
    <w:div w:id="1130243708">
      <w:bodyDiv w:val="1"/>
      <w:marLeft w:val="0"/>
      <w:marRight w:val="0"/>
      <w:marTop w:val="0"/>
      <w:marBottom w:val="0"/>
      <w:divBdr>
        <w:top w:val="none" w:sz="0" w:space="0" w:color="auto"/>
        <w:left w:val="none" w:sz="0" w:space="0" w:color="auto"/>
        <w:bottom w:val="none" w:sz="0" w:space="0" w:color="auto"/>
        <w:right w:val="none" w:sz="0" w:space="0" w:color="auto"/>
      </w:divBdr>
    </w:div>
    <w:div w:id="1137605704">
      <w:bodyDiv w:val="1"/>
      <w:marLeft w:val="0"/>
      <w:marRight w:val="0"/>
      <w:marTop w:val="0"/>
      <w:marBottom w:val="0"/>
      <w:divBdr>
        <w:top w:val="none" w:sz="0" w:space="0" w:color="auto"/>
        <w:left w:val="none" w:sz="0" w:space="0" w:color="auto"/>
        <w:bottom w:val="none" w:sz="0" w:space="0" w:color="auto"/>
        <w:right w:val="none" w:sz="0" w:space="0" w:color="auto"/>
      </w:divBdr>
    </w:div>
    <w:div w:id="1213344698">
      <w:bodyDiv w:val="1"/>
      <w:marLeft w:val="0"/>
      <w:marRight w:val="0"/>
      <w:marTop w:val="0"/>
      <w:marBottom w:val="0"/>
      <w:divBdr>
        <w:top w:val="none" w:sz="0" w:space="0" w:color="auto"/>
        <w:left w:val="none" w:sz="0" w:space="0" w:color="auto"/>
        <w:bottom w:val="none" w:sz="0" w:space="0" w:color="auto"/>
        <w:right w:val="none" w:sz="0" w:space="0" w:color="auto"/>
      </w:divBdr>
    </w:div>
    <w:div w:id="1275790273">
      <w:bodyDiv w:val="1"/>
      <w:marLeft w:val="0"/>
      <w:marRight w:val="0"/>
      <w:marTop w:val="0"/>
      <w:marBottom w:val="0"/>
      <w:divBdr>
        <w:top w:val="none" w:sz="0" w:space="0" w:color="auto"/>
        <w:left w:val="none" w:sz="0" w:space="0" w:color="auto"/>
        <w:bottom w:val="none" w:sz="0" w:space="0" w:color="auto"/>
        <w:right w:val="none" w:sz="0" w:space="0" w:color="auto"/>
      </w:divBdr>
    </w:div>
    <w:div w:id="1451388880">
      <w:bodyDiv w:val="1"/>
      <w:marLeft w:val="0"/>
      <w:marRight w:val="0"/>
      <w:marTop w:val="0"/>
      <w:marBottom w:val="0"/>
      <w:divBdr>
        <w:top w:val="none" w:sz="0" w:space="0" w:color="auto"/>
        <w:left w:val="none" w:sz="0" w:space="0" w:color="auto"/>
        <w:bottom w:val="none" w:sz="0" w:space="0" w:color="auto"/>
        <w:right w:val="none" w:sz="0" w:space="0" w:color="auto"/>
      </w:divBdr>
    </w:div>
    <w:div w:id="1628706004">
      <w:bodyDiv w:val="1"/>
      <w:marLeft w:val="0"/>
      <w:marRight w:val="0"/>
      <w:marTop w:val="0"/>
      <w:marBottom w:val="0"/>
      <w:divBdr>
        <w:top w:val="none" w:sz="0" w:space="0" w:color="auto"/>
        <w:left w:val="none" w:sz="0" w:space="0" w:color="auto"/>
        <w:bottom w:val="none" w:sz="0" w:space="0" w:color="auto"/>
        <w:right w:val="none" w:sz="0" w:space="0" w:color="auto"/>
      </w:divBdr>
    </w:div>
    <w:div w:id="1654484921">
      <w:bodyDiv w:val="1"/>
      <w:marLeft w:val="0"/>
      <w:marRight w:val="0"/>
      <w:marTop w:val="0"/>
      <w:marBottom w:val="0"/>
      <w:divBdr>
        <w:top w:val="none" w:sz="0" w:space="0" w:color="auto"/>
        <w:left w:val="none" w:sz="0" w:space="0" w:color="auto"/>
        <w:bottom w:val="none" w:sz="0" w:space="0" w:color="auto"/>
        <w:right w:val="none" w:sz="0" w:space="0" w:color="auto"/>
      </w:divBdr>
    </w:div>
    <w:div w:id="1681196751">
      <w:bodyDiv w:val="1"/>
      <w:marLeft w:val="0"/>
      <w:marRight w:val="0"/>
      <w:marTop w:val="0"/>
      <w:marBottom w:val="0"/>
      <w:divBdr>
        <w:top w:val="none" w:sz="0" w:space="0" w:color="auto"/>
        <w:left w:val="none" w:sz="0" w:space="0" w:color="auto"/>
        <w:bottom w:val="none" w:sz="0" w:space="0" w:color="auto"/>
        <w:right w:val="none" w:sz="0" w:space="0" w:color="auto"/>
      </w:divBdr>
    </w:div>
    <w:div w:id="1755585246">
      <w:bodyDiv w:val="1"/>
      <w:marLeft w:val="0"/>
      <w:marRight w:val="0"/>
      <w:marTop w:val="0"/>
      <w:marBottom w:val="0"/>
      <w:divBdr>
        <w:top w:val="none" w:sz="0" w:space="0" w:color="auto"/>
        <w:left w:val="none" w:sz="0" w:space="0" w:color="auto"/>
        <w:bottom w:val="none" w:sz="0" w:space="0" w:color="auto"/>
        <w:right w:val="none" w:sz="0" w:space="0" w:color="auto"/>
      </w:divBdr>
    </w:div>
    <w:div w:id="1829904802">
      <w:bodyDiv w:val="1"/>
      <w:marLeft w:val="0"/>
      <w:marRight w:val="0"/>
      <w:marTop w:val="0"/>
      <w:marBottom w:val="0"/>
      <w:divBdr>
        <w:top w:val="none" w:sz="0" w:space="0" w:color="auto"/>
        <w:left w:val="none" w:sz="0" w:space="0" w:color="auto"/>
        <w:bottom w:val="none" w:sz="0" w:space="0" w:color="auto"/>
        <w:right w:val="none" w:sz="0" w:space="0" w:color="auto"/>
      </w:divBdr>
    </w:div>
    <w:div w:id="2072849545">
      <w:bodyDiv w:val="1"/>
      <w:marLeft w:val="0"/>
      <w:marRight w:val="0"/>
      <w:marTop w:val="0"/>
      <w:marBottom w:val="0"/>
      <w:divBdr>
        <w:top w:val="none" w:sz="0" w:space="0" w:color="auto"/>
        <w:left w:val="none" w:sz="0" w:space="0" w:color="auto"/>
        <w:bottom w:val="none" w:sz="0" w:space="0" w:color="auto"/>
        <w:right w:val="none" w:sz="0" w:space="0" w:color="auto"/>
      </w:divBdr>
    </w:div>
    <w:div w:id="2118593410">
      <w:bodyDiv w:val="1"/>
      <w:marLeft w:val="0"/>
      <w:marRight w:val="0"/>
      <w:marTop w:val="0"/>
      <w:marBottom w:val="0"/>
      <w:divBdr>
        <w:top w:val="none" w:sz="0" w:space="0" w:color="auto"/>
        <w:left w:val="none" w:sz="0" w:space="0" w:color="auto"/>
        <w:bottom w:val="none" w:sz="0" w:space="0" w:color="auto"/>
        <w:right w:val="none" w:sz="0" w:space="0" w:color="auto"/>
      </w:divBdr>
    </w:div>
    <w:div w:id="21204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ilsag.info"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image" Target="media/image6.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evaluator-ntg-recommendations-for-2023/" TargetMode="External"/><Relationship Id="rId7" Type="http://schemas.openxmlformats.org/officeDocument/2006/relationships/hyperlink" Target="https://www.ilsag.info/wp-content/uploads/IL_EE_Policy_Manual_Version_3.0_Final_11-3-2023.pdf" TargetMode="External"/><Relationship Id="rId2" Type="http://schemas.openxmlformats.org/officeDocument/2006/relationships/hyperlink" Target="https://www.ilsag.info/wp-content/uploads/AIC-2024-Lighting-Carryover-Savings-Memo-FINAL-2025-01-21.pdf" TargetMode="External"/><Relationship Id="rId1" Type="http://schemas.openxmlformats.org/officeDocument/2006/relationships/hyperlink" Target="https://www.ilsag.info/wp-content/uploads/SAG_files/SAG_Reports/SAG_WAML_Report_Final_2-20-18.pdf" TargetMode="External"/><Relationship Id="rId6" Type="http://schemas.openxmlformats.org/officeDocument/2006/relationships/hyperlink" Target="https://www.ilsag.info/wp-content/uploads/SAG-NTGR-for-Disadvantaged-Areas-Presentation_ODC_2024-07-17.pdf" TargetMode="External"/><Relationship Id="rId5" Type="http://schemas.openxmlformats.org/officeDocument/2006/relationships/hyperlink" Target="https://www.ilsag.info/wp-content/uploads/IL_EE_Policy_Manual_Version_3.0_Final_11-3-2023.pdf" TargetMode="External"/><Relationship Id="rId4" Type="http://schemas.openxmlformats.org/officeDocument/2006/relationships/hyperlink" Target="https://www.ilsag.info/wp-content/uploads/IL_EE_Policy_Manual_Version_3.0_Final_11-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AppData\Local\Temp\72481f27-0036-4244-a7ff-eb97c4e383fc\Decarb%201.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766C08AEF7C4DAA862693811D8D32" ma:contentTypeVersion="15" ma:contentTypeDescription="Create a new document." ma:contentTypeScope="" ma:versionID="32258ae4c42afe4f6bdf1a5de5c40a07">
  <xsd:schema xmlns:xsd="http://www.w3.org/2001/XMLSchema" xmlns:xs="http://www.w3.org/2001/XMLSchema" xmlns:p="http://schemas.microsoft.com/office/2006/metadata/properties" xmlns:ns3="4396c974-d301-4196-85bd-788e990e69b3" xmlns:ns4="e8e1301a-4824-4f76-be5e-fb0e78a42f4f" targetNamespace="http://schemas.microsoft.com/office/2006/metadata/properties" ma:root="true" ma:fieldsID="4aca3cbdb7e98eac911e230c5ff1de7e" ns3:_="" ns4:_="">
    <xsd:import namespace="4396c974-d301-4196-85bd-788e990e69b3"/>
    <xsd:import namespace="e8e1301a-4824-4f76-be5e-fb0e78a42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c974-d301-4196-85bd-788e990e6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1301a-4824-4f76-be5e-fb0e78a42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e8e1301a-4824-4f76-be5e-fb0e78a42f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C775A-C7B5-46A8-A80A-2378AC78F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6c974-d301-4196-85bd-788e990e69b3"/>
    <ds:schemaRef ds:uri="e8e1301a-4824-4f76-be5e-fb0e78a4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customXml/itemProps3.xml><?xml version="1.0" encoding="utf-8"?>
<ds:datastoreItem xmlns:ds="http://schemas.openxmlformats.org/officeDocument/2006/customXml" ds:itemID="{57BCF9B4-11FA-43C8-A177-CBCBF7796F48}">
  <ds:schemaRefs>
    <ds:schemaRef ds:uri="http://schemas.microsoft.com/office/2006/metadata/properties"/>
    <ds:schemaRef ds:uri="http://schemas.microsoft.com/office/infopath/2007/PartnerControls"/>
    <ds:schemaRef ds:uri="e8e1301a-4824-4f76-be5e-fb0e78a42f4f"/>
  </ds:schemaRefs>
</ds:datastoreItem>
</file>

<file path=customXml/itemProps4.xml><?xml version="1.0" encoding="utf-8"?>
<ds:datastoreItem xmlns:ds="http://schemas.openxmlformats.org/officeDocument/2006/customXml" ds:itemID="{B19C013B-9303-494A-AC0C-A15519A06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Decarb 1</Template>
  <TotalTime>61</TotalTime>
  <Pages>33</Pages>
  <Words>8748</Words>
  <Characters>52838</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61464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Zachary Ross</dc:creator>
  <cp:lastModifiedBy>Zachary Ross</cp:lastModifiedBy>
  <cp:revision>7</cp:revision>
  <dcterms:created xsi:type="dcterms:W3CDTF">2025-03-13T13:37:00Z</dcterms:created>
  <dcterms:modified xsi:type="dcterms:W3CDTF">2025-03-13T20:16:00Z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y fmtid="{D5CDD505-2E9C-101B-9397-08002B2CF9AE}" pid="3" name="ContentTypeId">
    <vt:lpwstr>0x010100427766C08AEF7C4DAA862693811D8D32</vt:lpwstr>
  </property>
</Properties>
</file>